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B1" w:rsidRPr="00C2223E" w:rsidRDefault="00E947B1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E947B1" w:rsidRPr="00A028EA" w:rsidRDefault="00E947B1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【健康與體育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E947B1" w:rsidRPr="00C2223E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B1" w:rsidRPr="00CB523B" w:rsidRDefault="00E947B1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CB523B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CB523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B1" w:rsidRPr="00CB523B" w:rsidRDefault="00E947B1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B1" w:rsidRPr="00CB523B" w:rsidRDefault="00E947B1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B1" w:rsidRPr="00CB523B" w:rsidRDefault="00E947B1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B1" w:rsidRPr="00CB523B" w:rsidRDefault="00E947B1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B1" w:rsidRPr="00CB523B" w:rsidRDefault="00E947B1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B1" w:rsidRPr="00CB523B" w:rsidRDefault="00E947B1" w:rsidP="00CB6A4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B1" w:rsidRPr="00C2223E" w:rsidRDefault="00E947B1" w:rsidP="00CB6A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7512">
              <w:rPr>
                <w:rFonts w:ascii="標楷體" w:eastAsia="標楷體" w:hAnsi="標楷體" w:hint="eastAsia"/>
                <w:color w:val="4472C4"/>
              </w:rPr>
              <w:t>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/>
              </w:rPr>
              <w:t>規劃</w:t>
            </w:r>
          </w:p>
          <w:p w:rsidR="00E947B1" w:rsidRDefault="00E947B1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proofErr w:type="gramStart"/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947B1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B1" w:rsidRPr="00C2223E" w:rsidRDefault="00E947B1" w:rsidP="005975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B1" w:rsidRPr="00D30008" w:rsidRDefault="00E947B1" w:rsidP="00810881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E947B1" w:rsidRPr="00C2223E" w:rsidRDefault="00E947B1" w:rsidP="00810881">
            <w:pPr>
              <w:rPr>
                <w:rFonts w:ascii="標楷體" w:eastAsia="標楷體" w:hAnsi="標楷體"/>
              </w:rPr>
            </w:pPr>
            <w:proofErr w:type="gramStart"/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proofErr w:type="gramEnd"/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青春好樣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B1" w:rsidRPr="00C2223E" w:rsidRDefault="00E947B1" w:rsidP="00810881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D30008">
                <w:rPr>
                  <w:rFonts w:ascii="標楷體" w:eastAsia="標楷體" w:hAnsi="標楷體"/>
                  <w:color w:val="000000"/>
                  <w:sz w:val="20"/>
                </w:rPr>
                <w:t>5-2-4</w:t>
              </w:r>
            </w:smartTag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認識</w:t>
            </w:r>
            <w:proofErr w:type="gramStart"/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菸</w:t>
            </w:r>
            <w:proofErr w:type="gramEnd"/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、酒、檳榔、藥物與成癮藥物對個人及他人的影響，並能拒絕其危害。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B1" w:rsidRPr="00D30008" w:rsidRDefault="00E947B1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能了解過量飲酒對身體器官危害的情形。</w:t>
            </w:r>
          </w:p>
          <w:p w:rsidR="00E947B1" w:rsidRPr="00D30008" w:rsidRDefault="00E947B1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能了解不當飲酒，對個人、家庭及社會的影響及其可能後果。</w:t>
            </w:r>
          </w:p>
          <w:p w:rsidR="00E947B1" w:rsidRPr="00D30008" w:rsidRDefault="00E947B1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能評估飲酒的危害，進而表達拒絕的態度，並以其他飲料代替含有酒精的飲料。</w:t>
            </w:r>
          </w:p>
          <w:p w:rsidR="00E947B1" w:rsidRPr="00BB326B" w:rsidRDefault="00E947B1" w:rsidP="00810881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B1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聽力與口語溝通</w:t>
            </w:r>
          </w:p>
          <w:p w:rsidR="006C6823" w:rsidRPr="006C6823" w:rsidRDefault="006C6823" w:rsidP="0081088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7B1" w:rsidRDefault="00E947B1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:</w:t>
            </w:r>
            <w:proofErr w:type="gramStart"/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proofErr w:type="gramEnd"/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健康飲食教育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1</w:t>
            </w:r>
          </w:p>
          <w:p w:rsidR="00E947B1" w:rsidRPr="00D30008" w:rsidRDefault="00E947B1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E947B1" w:rsidRPr="00D30008" w:rsidRDefault="00E947B1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D30008">
                <w:rPr>
                  <w:rFonts w:ascii="標楷體" w:eastAsia="標楷體" w:hAnsi="標楷體"/>
                  <w:color w:val="000000"/>
                  <w:sz w:val="20"/>
                </w:rPr>
                <w:t>4-3-5</w:t>
              </w:r>
            </w:smartTag>
          </w:p>
          <w:p w:rsidR="00E947B1" w:rsidRPr="00D30008" w:rsidRDefault="00E947B1" w:rsidP="00810881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E947B1" w:rsidRPr="00C2223E" w:rsidRDefault="00E947B1" w:rsidP="00810881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B1" w:rsidRPr="00C2223E" w:rsidRDefault="00E947B1" w:rsidP="00810881">
            <w:pPr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B1" w:rsidRDefault="00E947B1" w:rsidP="00810881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青春好樣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D30008">
                <w:rPr>
                  <w:rFonts w:ascii="標楷體" w:eastAsia="標楷體" w:hAnsi="標楷體"/>
                  <w:color w:val="000000"/>
                  <w:sz w:val="20"/>
                </w:rPr>
                <w:t>5-2-4</w:t>
              </w:r>
            </w:smartTag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認識菸、酒、檳榔、藥物與成癮藥物對個人及他人的影響，並能拒絕其危害。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能了解檳榔的成分對人體的危害情形，並告知親友拒食檳榔。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能了解嚼檳榔對家庭、社會及生態環境的影響及其可能的後果。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Pr="006C6823" w:rsidRDefault="006C6823" w:rsidP="006C682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:</w:t>
            </w:r>
            <w:proofErr w:type="gramStart"/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proofErr w:type="gramEnd"/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健康飲食教育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1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D30008">
                <w:rPr>
                  <w:rFonts w:ascii="標楷體" w:eastAsia="標楷體" w:hAnsi="標楷體"/>
                  <w:color w:val="000000"/>
                  <w:sz w:val="20"/>
                </w:rPr>
                <w:t>4-3-5</w:t>
              </w:r>
            </w:smartTag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803599" w:rsidRDefault="006C6823" w:rsidP="006C682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二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飲食萬花筒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D30008">
                <w:rPr>
                  <w:rFonts w:ascii="標楷體" w:eastAsia="標楷體" w:hAnsi="標楷體"/>
                  <w:color w:val="000000"/>
                  <w:sz w:val="20"/>
                </w:rPr>
                <w:t>2-2-3</w:t>
              </w:r>
            </w:smartTag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了解、接納並尊重不同族群或國家的飲食型態與特色。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認識其他國家的飲食特色。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尊重並接納不同國家的飲食文化。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能分析且體認宗教及文化對飲食型態的影響。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口頭報告</w:t>
            </w:r>
          </w:p>
          <w:p w:rsidR="006C6823" w:rsidRPr="006C6823" w:rsidRDefault="006C6823" w:rsidP="006C682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:</w:t>
            </w:r>
            <w:proofErr w:type="gramStart"/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proofErr w:type="gramEnd"/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266458">
              <w:rPr>
                <w:rFonts w:ascii="標楷體" w:eastAsia="標楷體" w:hAnsi="標楷體" w:hint="eastAsia"/>
                <w:color w:val="3366FF"/>
                <w:sz w:val="20"/>
              </w:rPr>
              <w:t>健康飲食教育</w:t>
            </w:r>
            <w:r w:rsidRPr="00266458">
              <w:rPr>
                <w:rFonts w:ascii="標楷體" w:eastAsia="標楷體" w:hAnsi="標楷體"/>
                <w:color w:val="3366FF"/>
                <w:sz w:val="20"/>
              </w:rPr>
              <w:t>-</w:t>
            </w:r>
            <w:r>
              <w:rPr>
                <w:rFonts w:ascii="標楷體" w:eastAsia="標楷體" w:hAnsi="標楷體"/>
                <w:color w:val="3366FF"/>
                <w:sz w:val="20"/>
              </w:rPr>
              <w:t>1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資訊教育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D30008">
                <w:rPr>
                  <w:rFonts w:ascii="標楷體" w:eastAsia="標楷體" w:hAnsi="標楷體"/>
                  <w:color w:val="000000"/>
                  <w:sz w:val="20"/>
                </w:rPr>
                <w:t>4-3-5</w:t>
              </w:r>
            </w:smartTag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803599" w:rsidRDefault="006C6823" w:rsidP="006C682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人我之間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6-2-3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參與團體活動，體察人我互動的因素及增進的方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lastRenderedPageBreak/>
              <w:t>1.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明瞭關心和尊重彼此對人際關係的影響。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能知道並執行將心比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心、尊重他人的行為。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能明白對他人偏執的觀感，如成見、預設立場或刻板印象，會左右自己的行為，進而影響人際關係。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Pr="006C6823" w:rsidRDefault="006C6823" w:rsidP="006C682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D30008">
                <w:rPr>
                  <w:rFonts w:ascii="標楷體" w:eastAsia="標楷體" w:hAnsi="標楷體"/>
                  <w:color w:val="000000"/>
                  <w:sz w:val="20"/>
                </w:rPr>
                <w:t>4-3-2</w:t>
              </w:r>
            </w:smartTag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lastRenderedPageBreak/>
                <w:t>2-2-1</w:t>
              </w:r>
            </w:smartTag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三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人我之間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6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6-2-3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參與團體活動，體察人我互動的因素及增進的方法。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知道負面的描述或評論對人際關係的影響。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藉由活動體察負面批評對他人的傷害，避免類似的說話方式。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練習「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POWER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問題解決五步驟」，不讓負面批評影響自己。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Pr="006C6823" w:rsidRDefault="006C6823" w:rsidP="006C682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D30008">
                <w:rPr>
                  <w:rFonts w:ascii="標楷體" w:eastAsia="標楷體" w:hAnsi="標楷體"/>
                  <w:color w:val="000000"/>
                  <w:sz w:val="20"/>
                </w:rPr>
                <w:t>4-3-2</w:t>
              </w:r>
            </w:smartTag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2-2-1</w:t>
              </w:r>
            </w:smartTag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803599" w:rsidRDefault="006C6823" w:rsidP="006C682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四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青春進行曲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1-2-6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解釋個人與群體對性方面之行為，表現出不同的信念與價值觀。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能學習與異性相處時，表達友情和社交技巧的方法。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能以建設性的方式表達愛。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能知道不同國家對愛的表達方式各有不同。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Pr="006C6823" w:rsidRDefault="006C6823" w:rsidP="006C682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A60B1" w:rsidRDefault="006C6823" w:rsidP="006C6823">
            <w:pPr>
              <w:pStyle w:val="4123"/>
              <w:snapToGrid w:val="0"/>
              <w:spacing w:line="240" w:lineRule="auto"/>
              <w:ind w:left="0" w:right="0" w:firstLine="0"/>
              <w:contextualSpacing/>
              <w:jc w:val="left"/>
              <w:rPr>
                <w:rFonts w:ascii="標楷體" w:eastAsia="標楷體" w:hAnsi="標楷體"/>
                <w:color w:val="3366FF"/>
                <w:sz w:val="20"/>
              </w:rPr>
            </w:pP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:</w:t>
            </w:r>
            <w:proofErr w:type="gramStart"/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健體</w:t>
            </w:r>
            <w:proofErr w:type="gramEnd"/>
            <w:r w:rsidRPr="00CA60B1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CA60B1">
              <w:rPr>
                <w:rFonts w:ascii="標楷體" w:eastAsia="標楷體" w:hAnsi="標楷體" w:hint="eastAsia"/>
                <w:color w:val="3366FF"/>
                <w:sz w:val="20"/>
              </w:rPr>
              <w:t>兒童及少年性剝削防治教育</w:t>
            </w:r>
            <w:r w:rsidRPr="00CA60B1">
              <w:rPr>
                <w:rFonts w:ascii="標楷體" w:eastAsia="標楷體" w:hAnsi="標楷體"/>
                <w:color w:val="3366FF"/>
                <w:sz w:val="20"/>
              </w:rPr>
              <w:t>-1</w:t>
            </w:r>
          </w:p>
          <w:p w:rsidR="006C6823" w:rsidRPr="00432431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D30008">
                <w:rPr>
                  <w:rFonts w:ascii="標楷體" w:eastAsia="標楷體" w:hAnsi="標楷體"/>
                  <w:color w:val="000000"/>
                  <w:sz w:val="20"/>
                </w:rPr>
                <w:t>1-3-1</w:t>
              </w:r>
            </w:smartTag>
          </w:p>
          <w:p w:rsidR="006C6823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2"/>
              </w:smartTagPr>
              <w:r w:rsidRPr="00D30008">
                <w:rPr>
                  <w:rFonts w:ascii="標楷體" w:eastAsia="標楷體" w:hAnsi="標楷體"/>
                  <w:color w:val="000000"/>
                  <w:sz w:val="20"/>
                </w:rPr>
                <w:t>2-3-6</w:t>
              </w:r>
            </w:smartTag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五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健康生活深呼吸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7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7-2-5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調查、分析生活周遭環境問題與人體健康的關係。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認識空氣汙染。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知道空氣汙染源有哪些。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能與學童（或小組）討論社區空氣汙染形成的原因。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口頭報告</w:t>
            </w:r>
          </w:p>
          <w:p w:rsidR="006C6823" w:rsidRPr="006C6823" w:rsidRDefault="006C6823" w:rsidP="006C682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5-3-2</w:t>
              </w:r>
            </w:smartTag>
          </w:p>
          <w:p w:rsidR="006C6823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5-3-3</w:t>
              </w:r>
            </w:smartTag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壹、成長與蛻變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五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健康生活深呼吸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7"/>
              </w:smartTagPr>
              <w:r w:rsidRPr="00D30008">
                <w:rPr>
                  <w:rFonts w:ascii="標楷體" w:eastAsia="標楷體" w:hAnsi="標楷體"/>
                  <w:color w:val="000000"/>
                  <w:sz w:val="20"/>
                </w:rPr>
                <w:t>7-2-6</w:t>
              </w:r>
            </w:smartTag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參與社區中環保活動或環保計畫，並分享其獲致的成果。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能了解空氣汙染對健康的影響。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能了解空氣汙染對環境的影響。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能了解「空品旗」的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概念。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Pr="006C6823" w:rsidRDefault="006C6823" w:rsidP="006C682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5-3-2</w:t>
              </w:r>
            </w:smartTag>
          </w:p>
          <w:p w:rsidR="006C6823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5-3-3</w:t>
              </w:r>
            </w:smartTag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六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青春奔跑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D30008">
                <w:rPr>
                  <w:rFonts w:ascii="標楷體" w:eastAsia="標楷體" w:hAnsi="標楷體"/>
                  <w:color w:val="000000"/>
                  <w:sz w:val="20"/>
                </w:rPr>
                <w:t>4-2-4</w:t>
              </w:r>
            </w:smartTag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評估體適能活動的益處，並藉以提升個人體適能。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4"/>
              </w:smartTagPr>
              <w:r w:rsidRPr="00D30008">
                <w:rPr>
                  <w:rFonts w:ascii="標楷體" w:eastAsia="標楷體" w:hAnsi="標楷體"/>
                  <w:color w:val="000000"/>
                  <w:sz w:val="20"/>
                </w:rPr>
                <w:t>4-2-5</w:t>
              </w:r>
            </w:smartTag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透過運動了解本土與世界文化。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學習慢跑的方法與運用。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能了解慢跑能力與體適能的關係。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能體驗慢跑時的身心感受。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Pr="006C6823" w:rsidRDefault="006C6823" w:rsidP="006C682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七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健康有氧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能熟練拳擊有氧的基本動作。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能配合節奏的音樂，熟練數種拳擊動作組合起來的拳擊有氧。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3.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能和同學一起愉快的跳拳擊有氧舞蹈。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</w:p>
          <w:p w:rsidR="006C6823" w:rsidRPr="006C6823" w:rsidRDefault="006C6823" w:rsidP="006C682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803599" w:rsidRDefault="006C6823" w:rsidP="006C682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七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健康有氧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能配合快節奏的音樂，學會動感的階梯有氧動作。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能和同學一起愉快的跳階梯有氧舞蹈。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八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足球小子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表現全身性身體活動的控制能力。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3-2-4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知道足球行進間傳接球的動作。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能藉由活動練習足球行進間傳接球的動作。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知道用足球護球的動作。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八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足球小子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一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表現全身性身體活動的控制能力。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3-2-4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能藉由活動練習盤求突破的技巧。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能藉由活動培養足球的技巧。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九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體操精靈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能做出墊上體適能動作。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能完成倒立動作。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九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體操精靈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能學會並完成小魚躍滾翻的動作。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能完成側手翻的動作。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貳、身體力與美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九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體操精靈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表現全身性身體活動的控制能力。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能完成側手翻結合兔跳、小魚躍、前滾翻等動作。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十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現代輕功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表現全身性身體活動的控制能力。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3-2-2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在活動中表現身體的協調性。</w:t>
            </w:r>
          </w:p>
          <w:p w:rsidR="006C6823" w:rsidRPr="00F6520E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lastRenderedPageBreak/>
                <w:t>3-2-3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了解運動規則，參與比賽，表現運動技能。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lastRenderedPageBreak/>
              <w:t>1.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能找出起跳慣用腳與前導腳。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能運用剪式（前導腳與起跳腳）側跨跳。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學習正確的跳高分解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動作。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803599" w:rsidRDefault="006C6823" w:rsidP="006C682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053D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將成品上傳至平台分享區</w:t>
            </w: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十一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力拔山河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表現全身性身體活動的控制能力。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3-2-4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能了解拔河運動起源與特性。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能了解拔河握繩、姿勢的方法與動作的要領。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十一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力拔山河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3-2-1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表現全身性身體活動的控制能力。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3-2-4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在遊戲或簡單比賽中，表現各類運動的基本動作或技術。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4-2-1</w:t>
              </w:r>
            </w:smartTag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了解影響運動參與的因素。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能了解拔河握繩、姿勢的方法與動作的要領。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能了解八人制拔河比賽的規則。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能了解拔河握繩、姿勢的方法與動作的要領。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D30008">
                <w:rPr>
                  <w:rFonts w:ascii="標楷體" w:eastAsia="標楷體" w:hAnsi="標楷體" w:cs="Arial Unicode MS"/>
                  <w:color w:val="000000"/>
                  <w:sz w:val="20"/>
                </w:rPr>
                <w:t>1-2-1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</w:tr>
      <w:tr w:rsidR="006C6823" w:rsidRPr="00C2223E" w:rsidTr="00810881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Default="006C6823" w:rsidP="006C68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參、運動競技場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十二</w:t>
            </w:r>
            <w:r w:rsidRPr="00D30008">
              <w:rPr>
                <w:rFonts w:ascii="標楷體" w:eastAsia="標楷體" w:hAnsi="標楷體"/>
                <w:color w:val="000000"/>
                <w:sz w:val="20"/>
              </w:rPr>
              <w:t>.</w:t>
            </w:r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樂趣手球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5"/>
              </w:smartTagPr>
              <w:r w:rsidRPr="00D30008">
                <w:rPr>
                  <w:rFonts w:ascii="標楷體" w:eastAsia="標楷體" w:hAnsi="標楷體"/>
                  <w:color w:val="000000"/>
                  <w:sz w:val="20"/>
                </w:rPr>
                <w:t>5-2-4</w:t>
              </w:r>
            </w:smartTag>
            <w:r w:rsidRPr="00D30008">
              <w:rPr>
                <w:rFonts w:ascii="標楷體" w:eastAsia="標楷體" w:hAnsi="標楷體" w:hint="eastAsia"/>
                <w:color w:val="000000"/>
                <w:sz w:val="20"/>
              </w:rPr>
              <w:t>認識菸、酒、檳榔、藥物與成癮藥物對個人及他人的影響，並能拒絕其危害。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1.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知道手球傳接的動作要領。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2.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能藉由活動練習培養手球傳接的要領。</w:t>
            </w:r>
          </w:p>
          <w:p w:rsidR="006C6823" w:rsidRPr="00D30008" w:rsidRDefault="006C6823" w:rsidP="006C6823">
            <w:pPr>
              <w:pStyle w:val="af7"/>
              <w:rPr>
                <w:rFonts w:ascii="標楷體" w:eastAsia="標楷體" w:hAnsi="標楷體" w:cs="Arial Unicode MS"/>
                <w:color w:val="000000"/>
                <w:sz w:val="20"/>
              </w:rPr>
            </w:pPr>
            <w:r w:rsidRPr="00D30008">
              <w:rPr>
                <w:rFonts w:ascii="標楷體" w:eastAsia="標楷體" w:hAnsi="標楷體" w:cs="Arial Unicode MS"/>
                <w:color w:val="000000"/>
                <w:sz w:val="20"/>
              </w:rPr>
              <w:t>3.</w:t>
            </w:r>
            <w:r w:rsidRPr="00D30008">
              <w:rPr>
                <w:rFonts w:ascii="標楷體" w:eastAsia="標楷體" w:hAnsi="標楷體" w:cs="Arial Unicode MS" w:hint="eastAsia"/>
                <w:color w:val="000000"/>
                <w:sz w:val="20"/>
              </w:rPr>
              <w:t>知道手球運球的基本要領。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行為觀察</w:t>
            </w:r>
          </w:p>
          <w:p w:rsidR="006C6823" w:rsidRP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C6823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聽力與口語溝通</w:t>
            </w:r>
          </w:p>
          <w:p w:rsidR="006C6823" w:rsidRDefault="006C6823" w:rsidP="006C6823">
            <w:pPr>
              <w:pStyle w:val="HTML"/>
              <w:shd w:val="clear" w:color="auto" w:fill="FFFFFF"/>
              <w:spacing w:before="150" w:after="150" w:line="360" w:lineRule="atLeast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C68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實際操作</w:t>
            </w:r>
          </w:p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  <w:r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823" w:rsidRPr="00C2223E" w:rsidRDefault="006C6823" w:rsidP="006C6823">
            <w:pPr>
              <w:rPr>
                <w:rFonts w:ascii="標楷體" w:eastAsia="標楷體" w:hAnsi="標楷體"/>
              </w:rPr>
            </w:pPr>
          </w:p>
        </w:tc>
      </w:tr>
      <w:tr w:rsidR="006C6823" w:rsidRPr="00C2223E" w:rsidTr="0016481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Default="006C6823" w:rsidP="006C6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823" w:rsidRPr="00C2223E" w:rsidRDefault="006C6823" w:rsidP="006C6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823" w:rsidRPr="00C2223E" w:rsidRDefault="006C6823" w:rsidP="006C68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3" w:rsidRPr="00C2223E" w:rsidRDefault="006C6823" w:rsidP="006C682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823" w:rsidRPr="00C2223E" w:rsidRDefault="006C6823" w:rsidP="006C682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947B1" w:rsidRPr="00C2223E" w:rsidRDefault="00E947B1" w:rsidP="00A028EA">
      <w:pPr>
        <w:rPr>
          <w:rFonts w:ascii="標楷體" w:eastAsia="標楷體" w:hAnsi="標楷體"/>
        </w:rPr>
      </w:pPr>
    </w:p>
    <w:p w:rsidR="00E947B1" w:rsidRPr="00C2223E" w:rsidRDefault="00E947B1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E947B1" w:rsidRPr="00C2223E" w:rsidRDefault="00E947B1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E947B1" w:rsidRPr="00C2223E" w:rsidRDefault="00E947B1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E947B1" w:rsidRDefault="00E947B1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E947B1" w:rsidRDefault="00E947B1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lastRenderedPageBreak/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E947B1" w:rsidRPr="00D336B3" w:rsidRDefault="00E947B1" w:rsidP="00BC446B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p w:rsidR="00E947B1" w:rsidRDefault="00E947B1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E947B1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F87" w:rsidRDefault="00682F87">
      <w:r>
        <w:separator/>
      </w:r>
    </w:p>
  </w:endnote>
  <w:endnote w:type="continuationSeparator" w:id="0">
    <w:p w:rsidR="00682F87" w:rsidRDefault="0068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F87" w:rsidRDefault="00682F87">
      <w:r>
        <w:rPr>
          <w:color w:val="000000"/>
        </w:rPr>
        <w:separator/>
      </w:r>
    </w:p>
  </w:footnote>
  <w:footnote w:type="continuationSeparator" w:id="0">
    <w:p w:rsidR="00682F87" w:rsidRDefault="0068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34C8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0746"/>
    <w:rsid w:val="00061821"/>
    <w:rsid w:val="00061D94"/>
    <w:rsid w:val="000763E5"/>
    <w:rsid w:val="00084AE8"/>
    <w:rsid w:val="000924A6"/>
    <w:rsid w:val="00093F2D"/>
    <w:rsid w:val="000A0A44"/>
    <w:rsid w:val="000A7AA5"/>
    <w:rsid w:val="000B3796"/>
    <w:rsid w:val="000B71A3"/>
    <w:rsid w:val="000C3592"/>
    <w:rsid w:val="000C61FE"/>
    <w:rsid w:val="000C6F11"/>
    <w:rsid w:val="000D7181"/>
    <w:rsid w:val="000E6BF3"/>
    <w:rsid w:val="001053D2"/>
    <w:rsid w:val="0010652A"/>
    <w:rsid w:val="001150B4"/>
    <w:rsid w:val="00115339"/>
    <w:rsid w:val="00115773"/>
    <w:rsid w:val="001165FF"/>
    <w:rsid w:val="00127A97"/>
    <w:rsid w:val="00132046"/>
    <w:rsid w:val="0013293E"/>
    <w:rsid w:val="00132F64"/>
    <w:rsid w:val="00143828"/>
    <w:rsid w:val="00151722"/>
    <w:rsid w:val="0015399A"/>
    <w:rsid w:val="00160DFB"/>
    <w:rsid w:val="00162F8E"/>
    <w:rsid w:val="00164813"/>
    <w:rsid w:val="001656BE"/>
    <w:rsid w:val="00187B04"/>
    <w:rsid w:val="00191190"/>
    <w:rsid w:val="00195F45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2F67"/>
    <w:rsid w:val="00234226"/>
    <w:rsid w:val="002366B9"/>
    <w:rsid w:val="00236ACB"/>
    <w:rsid w:val="00237D24"/>
    <w:rsid w:val="00250592"/>
    <w:rsid w:val="002506E8"/>
    <w:rsid w:val="002542A2"/>
    <w:rsid w:val="00254D3A"/>
    <w:rsid w:val="002564FE"/>
    <w:rsid w:val="00257BBA"/>
    <w:rsid w:val="00261D16"/>
    <w:rsid w:val="00266458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6574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3DD7"/>
    <w:rsid w:val="003A791F"/>
    <w:rsid w:val="003B43F2"/>
    <w:rsid w:val="003C08C7"/>
    <w:rsid w:val="003C1BC3"/>
    <w:rsid w:val="003C3E77"/>
    <w:rsid w:val="003D4EFD"/>
    <w:rsid w:val="003D6A6B"/>
    <w:rsid w:val="003E3592"/>
    <w:rsid w:val="003E6DB3"/>
    <w:rsid w:val="003E7183"/>
    <w:rsid w:val="003F0AE9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243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2609E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9756D"/>
    <w:rsid w:val="005A0577"/>
    <w:rsid w:val="005B2C0B"/>
    <w:rsid w:val="005C0A7F"/>
    <w:rsid w:val="005C1C1A"/>
    <w:rsid w:val="005C2E69"/>
    <w:rsid w:val="005D2C24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2F87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2DFD"/>
    <w:rsid w:val="006B4AB0"/>
    <w:rsid w:val="006C570E"/>
    <w:rsid w:val="006C6823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215"/>
    <w:rsid w:val="00785A3E"/>
    <w:rsid w:val="00792209"/>
    <w:rsid w:val="00792614"/>
    <w:rsid w:val="00792826"/>
    <w:rsid w:val="00794C06"/>
    <w:rsid w:val="0079540A"/>
    <w:rsid w:val="007A265C"/>
    <w:rsid w:val="007B19D5"/>
    <w:rsid w:val="007B33A5"/>
    <w:rsid w:val="007B3BF1"/>
    <w:rsid w:val="007B6127"/>
    <w:rsid w:val="007C1EAF"/>
    <w:rsid w:val="007C3DCC"/>
    <w:rsid w:val="007C4440"/>
    <w:rsid w:val="007C447F"/>
    <w:rsid w:val="007D08DF"/>
    <w:rsid w:val="007D58ED"/>
    <w:rsid w:val="007E5E46"/>
    <w:rsid w:val="007E7252"/>
    <w:rsid w:val="007F5B6B"/>
    <w:rsid w:val="00800303"/>
    <w:rsid w:val="00803599"/>
    <w:rsid w:val="00810881"/>
    <w:rsid w:val="00814060"/>
    <w:rsid w:val="00825DAD"/>
    <w:rsid w:val="00830048"/>
    <w:rsid w:val="00831D0B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F45FF"/>
    <w:rsid w:val="00902D26"/>
    <w:rsid w:val="0090350F"/>
    <w:rsid w:val="00914A9E"/>
    <w:rsid w:val="009159FF"/>
    <w:rsid w:val="00915FB8"/>
    <w:rsid w:val="00933D66"/>
    <w:rsid w:val="00937AAF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3B9E"/>
    <w:rsid w:val="00A0730E"/>
    <w:rsid w:val="00A105F2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99F"/>
    <w:rsid w:val="00AA2A9D"/>
    <w:rsid w:val="00AA55B3"/>
    <w:rsid w:val="00AA5860"/>
    <w:rsid w:val="00AA7CD4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326B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A60B1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0008"/>
    <w:rsid w:val="00D3288D"/>
    <w:rsid w:val="00D336B3"/>
    <w:rsid w:val="00D40A21"/>
    <w:rsid w:val="00D4221F"/>
    <w:rsid w:val="00D42E90"/>
    <w:rsid w:val="00D45F59"/>
    <w:rsid w:val="00D46444"/>
    <w:rsid w:val="00D4645F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5396"/>
    <w:rsid w:val="00E67893"/>
    <w:rsid w:val="00E74EBA"/>
    <w:rsid w:val="00E77831"/>
    <w:rsid w:val="00E82853"/>
    <w:rsid w:val="00E900C5"/>
    <w:rsid w:val="00E9155B"/>
    <w:rsid w:val="00E947B1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520E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7AC7315"/>
  <w15:docId w15:val="{1256C3C1-5212-453A-819B-FD6288E2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746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060746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">
    <w:name w:val="頁首 字元1"/>
    <w:link w:val="a3"/>
    <w:uiPriority w:val="99"/>
    <w:semiHidden/>
    <w:locked/>
    <w:rsid w:val="0052609E"/>
    <w:rPr>
      <w:rFonts w:ascii="Times New Roman" w:hAnsi="Times New Roman" w:cs="Times New Roman"/>
      <w:kern w:val="3"/>
      <w:sz w:val="20"/>
      <w:szCs w:val="20"/>
    </w:rPr>
  </w:style>
  <w:style w:type="character" w:customStyle="1" w:styleId="a4">
    <w:name w:val="頁首 字元"/>
    <w:uiPriority w:val="99"/>
    <w:rsid w:val="00060746"/>
    <w:rPr>
      <w:sz w:val="20"/>
    </w:rPr>
  </w:style>
  <w:style w:type="paragraph" w:styleId="a5">
    <w:name w:val="footer"/>
    <w:basedOn w:val="a"/>
    <w:link w:val="10"/>
    <w:uiPriority w:val="99"/>
    <w:rsid w:val="00060746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0">
    <w:name w:val="頁尾 字元1"/>
    <w:link w:val="a5"/>
    <w:uiPriority w:val="99"/>
    <w:semiHidden/>
    <w:locked/>
    <w:rsid w:val="0052609E"/>
    <w:rPr>
      <w:rFonts w:ascii="Times New Roman" w:hAnsi="Times New Roman" w:cs="Times New Roman"/>
      <w:kern w:val="3"/>
      <w:sz w:val="20"/>
      <w:szCs w:val="20"/>
    </w:rPr>
  </w:style>
  <w:style w:type="character" w:customStyle="1" w:styleId="a6">
    <w:name w:val="頁尾 字元"/>
    <w:uiPriority w:val="99"/>
    <w:rsid w:val="00060746"/>
    <w:rPr>
      <w:sz w:val="20"/>
    </w:rPr>
  </w:style>
  <w:style w:type="character" w:styleId="a7">
    <w:name w:val="page number"/>
    <w:uiPriority w:val="99"/>
    <w:rsid w:val="00060746"/>
    <w:rPr>
      <w:rFonts w:cs="Times New Roman"/>
    </w:rPr>
  </w:style>
  <w:style w:type="paragraph" w:styleId="a8">
    <w:name w:val="List Paragraph"/>
    <w:basedOn w:val="a"/>
    <w:uiPriority w:val="99"/>
    <w:qFormat/>
    <w:rsid w:val="00060746"/>
    <w:pPr>
      <w:suppressAutoHyphens/>
      <w:ind w:left="480"/>
    </w:pPr>
  </w:style>
  <w:style w:type="character" w:styleId="a9">
    <w:name w:val="annotation reference"/>
    <w:uiPriority w:val="99"/>
    <w:rsid w:val="00060746"/>
    <w:rPr>
      <w:rFonts w:cs="Times New Roman"/>
      <w:sz w:val="18"/>
    </w:rPr>
  </w:style>
  <w:style w:type="paragraph" w:styleId="aa">
    <w:name w:val="annotation text"/>
    <w:basedOn w:val="a"/>
    <w:link w:val="11"/>
    <w:uiPriority w:val="99"/>
    <w:rsid w:val="00060746"/>
    <w:pPr>
      <w:suppressAutoHyphens/>
    </w:pPr>
  </w:style>
  <w:style w:type="character" w:customStyle="1" w:styleId="11">
    <w:name w:val="註解文字 字元1"/>
    <w:link w:val="aa"/>
    <w:uiPriority w:val="99"/>
    <w:semiHidden/>
    <w:locked/>
    <w:rsid w:val="0052609E"/>
    <w:rPr>
      <w:rFonts w:ascii="Times New Roman" w:hAnsi="Times New Roman" w:cs="Times New Roman"/>
      <w:kern w:val="3"/>
      <w:sz w:val="24"/>
      <w:szCs w:val="24"/>
    </w:rPr>
  </w:style>
  <w:style w:type="character" w:customStyle="1" w:styleId="ab">
    <w:name w:val="註解文字 字元"/>
    <w:uiPriority w:val="99"/>
    <w:rsid w:val="00060746"/>
    <w:rPr>
      <w:rFonts w:ascii="Times New Roman" w:eastAsia="新細明體" w:hAnsi="Times New Roman"/>
      <w:sz w:val="24"/>
    </w:rPr>
  </w:style>
  <w:style w:type="paragraph" w:styleId="ac">
    <w:name w:val="annotation subject"/>
    <w:basedOn w:val="aa"/>
    <w:next w:val="aa"/>
    <w:link w:val="12"/>
    <w:uiPriority w:val="99"/>
    <w:rsid w:val="00060746"/>
    <w:rPr>
      <w:b/>
      <w:bCs/>
    </w:rPr>
  </w:style>
  <w:style w:type="character" w:customStyle="1" w:styleId="12">
    <w:name w:val="註解主旨 字元1"/>
    <w:link w:val="ac"/>
    <w:uiPriority w:val="99"/>
    <w:semiHidden/>
    <w:locked/>
    <w:rsid w:val="0052609E"/>
    <w:rPr>
      <w:rFonts w:ascii="Times New Roman" w:hAnsi="Times New Roman" w:cs="Times New Roman"/>
      <w:b/>
      <w:bCs/>
      <w:kern w:val="3"/>
      <w:sz w:val="24"/>
      <w:szCs w:val="24"/>
    </w:rPr>
  </w:style>
  <w:style w:type="character" w:customStyle="1" w:styleId="ad">
    <w:name w:val="註解主旨 字元"/>
    <w:uiPriority w:val="99"/>
    <w:rsid w:val="00060746"/>
    <w:rPr>
      <w:rFonts w:ascii="Times New Roman" w:eastAsia="新細明體" w:hAnsi="Times New Roman"/>
      <w:b/>
      <w:sz w:val="24"/>
    </w:rPr>
  </w:style>
  <w:style w:type="paragraph" w:styleId="ae">
    <w:name w:val="Balloon Text"/>
    <w:basedOn w:val="a"/>
    <w:link w:val="13"/>
    <w:uiPriority w:val="99"/>
    <w:rsid w:val="00060746"/>
    <w:pPr>
      <w:suppressAutoHyphens/>
    </w:pPr>
    <w:rPr>
      <w:rFonts w:ascii="Calibri Light" w:hAnsi="Calibri Light"/>
      <w:sz w:val="18"/>
      <w:szCs w:val="18"/>
    </w:rPr>
  </w:style>
  <w:style w:type="character" w:customStyle="1" w:styleId="13">
    <w:name w:val="註解方塊文字 字元1"/>
    <w:link w:val="ae"/>
    <w:uiPriority w:val="99"/>
    <w:semiHidden/>
    <w:locked/>
    <w:rsid w:val="0052609E"/>
    <w:rPr>
      <w:rFonts w:ascii="Cambria" w:eastAsia="新細明體" w:hAnsi="Cambria" w:cs="Times New Roman"/>
      <w:kern w:val="3"/>
      <w:sz w:val="2"/>
    </w:rPr>
  </w:style>
  <w:style w:type="character" w:customStyle="1" w:styleId="af">
    <w:name w:val="註解方塊文字 字元"/>
    <w:uiPriority w:val="99"/>
    <w:rsid w:val="00060746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a"/>
    <w:uiPriority w:val="99"/>
    <w:rsid w:val="00060746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060746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99"/>
    <w:rsid w:val="00060746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af0">
    <w:name w:val="Hyperlink"/>
    <w:uiPriority w:val="99"/>
    <w:rsid w:val="00060746"/>
    <w:rPr>
      <w:rFonts w:cs="Times New Roman"/>
      <w:color w:val="156F82"/>
      <w:u w:val="none"/>
    </w:rPr>
  </w:style>
  <w:style w:type="character" w:customStyle="1" w:styleId="af1">
    <w:name w:val="清單段落 字元"/>
    <w:uiPriority w:val="99"/>
    <w:rsid w:val="00060746"/>
    <w:rPr>
      <w:rFonts w:ascii="Times New Roman" w:hAnsi="Times New Roman"/>
      <w:kern w:val="3"/>
      <w:sz w:val="24"/>
    </w:rPr>
  </w:style>
  <w:style w:type="paragraph" w:styleId="af2">
    <w:name w:val="Body Text"/>
    <w:basedOn w:val="a"/>
    <w:link w:val="14"/>
    <w:uiPriority w:val="99"/>
    <w:rsid w:val="00060746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14">
    <w:name w:val="本文 字元1"/>
    <w:link w:val="af2"/>
    <w:uiPriority w:val="99"/>
    <w:semiHidden/>
    <w:locked/>
    <w:rsid w:val="0052609E"/>
    <w:rPr>
      <w:rFonts w:ascii="Times New Roman" w:hAnsi="Times New Roman" w:cs="Times New Roman"/>
      <w:kern w:val="3"/>
      <w:sz w:val="24"/>
      <w:szCs w:val="24"/>
    </w:rPr>
  </w:style>
  <w:style w:type="character" w:customStyle="1" w:styleId="af3">
    <w:name w:val="本文 字元"/>
    <w:uiPriority w:val="99"/>
    <w:rsid w:val="00060746"/>
    <w:rPr>
      <w:rFonts w:ascii="細明體" w:eastAsia="細明體" w:hAnsi="細明體"/>
      <w:sz w:val="28"/>
      <w:lang w:val="zh-TW"/>
    </w:rPr>
  </w:style>
  <w:style w:type="table" w:styleId="af4">
    <w:name w:val="Table Grid"/>
    <w:basedOn w:val="a1"/>
    <w:uiPriority w:val="9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99"/>
    <w:qFormat/>
    <w:rsid w:val="0094434C"/>
    <w:rPr>
      <w:rFonts w:cs="Times New Roman"/>
      <w:b/>
      <w:bCs/>
    </w:rPr>
  </w:style>
  <w:style w:type="paragraph" w:styleId="af7">
    <w:name w:val="Plain Text"/>
    <w:basedOn w:val="a"/>
    <w:link w:val="af8"/>
    <w:uiPriority w:val="99"/>
    <w:rsid w:val="003C1BC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8">
    <w:name w:val="純文字 字元"/>
    <w:link w:val="af7"/>
    <w:uiPriority w:val="99"/>
    <w:locked/>
    <w:rsid w:val="003C1BC3"/>
    <w:rPr>
      <w:rFonts w:ascii="細明體" w:eastAsia="細明體" w:hAnsi="Courier New" w:cs="Century"/>
      <w:kern w:val="2"/>
      <w:sz w:val="24"/>
      <w:szCs w:val="24"/>
    </w:rPr>
  </w:style>
  <w:style w:type="paragraph" w:customStyle="1" w:styleId="4123">
    <w:name w:val="4.【教學目標】內文字（1.2.3.）"/>
    <w:basedOn w:val="af7"/>
    <w:uiPriority w:val="99"/>
    <w:rsid w:val="00432431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6C6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C6823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Teacher</cp:lastModifiedBy>
  <cp:revision>18</cp:revision>
  <cp:lastPrinted>2021-10-04T02:40:00Z</cp:lastPrinted>
  <dcterms:created xsi:type="dcterms:W3CDTF">2022-01-25T04:06:00Z</dcterms:created>
  <dcterms:modified xsi:type="dcterms:W3CDTF">2023-06-21T02:00:00Z</dcterms:modified>
</cp:coreProperties>
</file>