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57" w:rsidRDefault="00576F57">
      <w:pPr>
        <w:adjustRightInd w:val="0"/>
        <w:snapToGrid w:val="0"/>
        <w:spacing w:line="240" w:lineRule="atLeast"/>
        <w:ind w:leftChars="1" w:left="702" w:hangingChars="250" w:hanging="700"/>
        <w:jc w:val="both"/>
        <w:rPr>
          <w:rFonts w:ascii="標楷體" w:eastAsia="標楷體" w:hAnsi="標楷體"/>
          <w:sz w:val="28"/>
          <w:szCs w:val="28"/>
        </w:rPr>
      </w:pPr>
    </w:p>
    <w:p w:rsidR="00576F57" w:rsidRDefault="00576F57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高雄市左營區屏山國小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六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年級第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 xml:space="preserve"> 2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學期【自然與生活科技領域】課程計畫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九年一貫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</w:p>
    <w:p w:rsidR="00576F57" w:rsidRDefault="00576F57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15304" w:type="dxa"/>
        <w:jc w:val="center"/>
        <w:tblCellMar>
          <w:left w:w="10" w:type="dxa"/>
          <w:right w:w="10" w:type="dxa"/>
        </w:tblCellMar>
        <w:tblLook w:val="00A0"/>
      </w:tblPr>
      <w:tblGrid>
        <w:gridCol w:w="935"/>
        <w:gridCol w:w="1417"/>
        <w:gridCol w:w="1843"/>
        <w:gridCol w:w="3686"/>
        <w:gridCol w:w="1842"/>
        <w:gridCol w:w="2694"/>
        <w:gridCol w:w="1312"/>
        <w:gridCol w:w="1575"/>
      </w:tblGrid>
      <w:tr w:rsidR="00576F57" w:rsidRPr="00015CE1">
        <w:trPr>
          <w:trHeight w:val="1121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4472C4"/>
              </w:rPr>
              <w:t>線上教學規劃</w:t>
            </w:r>
          </w:p>
          <w:p w:rsidR="00576F57" w:rsidRDefault="00576F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無則免填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576F57" w:rsidRPr="00015CE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57" w:rsidRDefault="00576F5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一、巧妙的施力工具</w:t>
            </w:r>
          </w:p>
          <w:p w:rsidR="00576F57" w:rsidRDefault="00576F5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槓桿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kern w:val="2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1-3-2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實驗前，估量「變量」可能的大小及變化範圍。</w:t>
            </w:r>
          </w:p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1-3-2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由改變量與本量之比例，評估變化程度。</w:t>
            </w:r>
          </w:p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1-3-3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實驗時確認相關的變因，做操控運作。</w:t>
            </w:r>
          </w:p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1-3-4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能由各不同來源的資料，整理出一個整體性的看法。</w:t>
            </w:r>
          </w:p>
          <w:p w:rsidR="00576F57" w:rsidRDefault="00576F57">
            <w:pPr>
              <w:widowControl w:val="0"/>
              <w:rPr>
                <w:rFonts w:ascii="標楷體" w:eastAsia="標楷體" w:hAnsi="標楷體" w:cs="Arial Unicode MS"/>
                <w:color w:val="000000"/>
                <w:kern w:val="2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透過實際操作學習槓桿原理，並能將其應用在生活中。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實際操作驗證定滑輪與動滑輪的槓桿功能，並了解其裝置是否省力。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3.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了解齒輪的構造，當齒輪密合轉動，齒輪轉動的方向是不相同的，且轉動的圈數與齒輪數有關。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4.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透過觀察腳踏車的構造，了解其傳動是依靠鏈條帶動齒輪的轉動，並察覺大小齒輪的轉動方向是相同的。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</w:t>
            </w:r>
          </w:p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</w:t>
            </w:r>
          </w:p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行為觀察</w:t>
            </w:r>
          </w:p>
          <w:p w:rsidR="00576F57" w:rsidRPr="00015CE1" w:rsidRDefault="00576F57" w:rsidP="00CC622D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 w:cs="NaniMtmn-Medium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4-3-1</w:t>
              </w:r>
            </w:smartTag>
            <w:r>
              <w:rPr>
                <w:rFonts w:ascii="標楷體" w:eastAsia="標楷體" w:hAnsi="標楷體" w:cs="NaniMtmn-Medium"/>
                <w:sz w:val="22"/>
              </w:rPr>
              <w:t xml:space="preserve"> </w:t>
            </w:r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 w:cs="NaniMtmn-Medium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sz w:val="22"/>
                </w:rPr>
                <w:t>4-3-2</w:t>
              </w:r>
            </w:smartTag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 w:cs="NaniMtmn-Medium"/>
                <w:sz w:val="22"/>
              </w:rPr>
            </w:pPr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【資訊教育】</w:t>
            </w:r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4-3-1</w:t>
              </w:r>
            </w:smartTag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4-3-5</w:t>
              </w:r>
            </w:smartTag>
            <w:r>
              <w:rPr>
                <w:rFonts w:ascii="標楷體" w:eastAsia="標楷體" w:hAnsi="標楷體" w:cs="NaniMtmn-Medium"/>
                <w:kern w:val="0"/>
                <w:sz w:val="22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jc w:val="both"/>
              <w:rPr>
                <w:rFonts w:ascii="標楷體" w:eastAsia="標楷體" w:hAnsi="標楷體" w:cs="標楷體"/>
                <w:color w:val="FF0000"/>
                <w:sz w:val="22"/>
              </w:rPr>
            </w:pPr>
          </w:p>
        </w:tc>
      </w:tr>
      <w:tr w:rsidR="00576F57" w:rsidRPr="00015CE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57" w:rsidRDefault="00576F5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一、巧妙的施力工具</w:t>
            </w:r>
          </w:p>
          <w:p w:rsidR="00576F57" w:rsidRDefault="00576F5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槓桿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2-3-1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提出問題、研商處理問題的策略、「學習」操控變因、觀察事象的變化並推測可能的因果關係。學習資料整理、設計表格、圖表來表示資料。學習由變量與應變量之間相應的情形，提出假設或做出合理的解釋。</w:t>
            </w:r>
          </w:p>
          <w:p w:rsidR="00576F57" w:rsidRPr="006C35A2" w:rsidRDefault="00576F57" w:rsidP="006C35A2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2-3-5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-4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藉簡單機械的運用知道力可由槓桿、皮帶、齒輪、流體（壓力）等方法來傳動。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透過實際操作學習槓桿原理，並能將其應用在生活中。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實際操作驗證定滑輪與動滑輪的槓桿功能，並了解其裝置是否省力。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3.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了解輪軸轉動時是同步進行，並了解其在日常生活中的應用。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4.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了解皮帶與鏈條可以帶動齒輪轉動傳送動力，並了解其在日常生活中的應用。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</w:t>
            </w:r>
          </w:p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</w:t>
            </w:r>
          </w:p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行為觀察</w:t>
            </w:r>
          </w:p>
          <w:p w:rsidR="00576F57" w:rsidRPr="00015CE1" w:rsidRDefault="00576F57" w:rsidP="00CC622D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4-3-1</w:t>
              </w:r>
            </w:smartTag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4-3-2</w:t>
              </w:r>
            </w:smartTag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 w:cs="NaniMtmn-Medium"/>
                <w:sz w:val="22"/>
              </w:rPr>
            </w:pPr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【資訊教育】</w:t>
            </w:r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4-3-1</w:t>
              </w:r>
            </w:smartTag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4-3-5</w:t>
              </w:r>
            </w:smartTag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jc w:val="both"/>
              <w:rPr>
                <w:rFonts w:ascii="標楷體" w:eastAsia="標楷體" w:hAnsi="標楷體" w:cs="標楷體"/>
                <w:color w:val="FF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將同學的學習成果或相關的學習資訊放在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classroom</w:t>
            </w:r>
          </w:p>
        </w:tc>
      </w:tr>
      <w:tr w:rsidR="00576F57" w:rsidRPr="00015CE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57" w:rsidRDefault="00576F5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一、巧妙的施力工具</w:t>
            </w:r>
          </w:p>
          <w:p w:rsidR="00576F57" w:rsidRDefault="00576F5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滑輪與輪軸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kern w:val="2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1-3-2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實際操作前，估量「變量」可能的大小及變化範圍。</w:t>
            </w:r>
          </w:p>
          <w:p w:rsidR="00576F57" w:rsidRDefault="00576F57">
            <w:pPr>
              <w:widowControl w:val="0"/>
              <w:rPr>
                <w:rFonts w:ascii="標楷體" w:eastAsia="標楷體" w:hAnsi="標楷體" w:cs="Arial Unicode MS"/>
                <w:color w:val="000000"/>
                <w:kern w:val="2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透過實際操作學習槓桿原理，並能將其應用在生活中。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實際操作驗證定滑輪與動滑輪的槓桿功能，並了解其裝置是否省力。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3.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了解輪軸轉動時是同步進行，並了解其在日常生活中的應用。</w:t>
            </w:r>
          </w:p>
          <w:p w:rsidR="00576F57" w:rsidRDefault="00576F57" w:rsidP="006C35A2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4.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了解齒輪的構造，當齒輪密合轉動，齒輪轉動的方向是不相同的，且轉動的圈數與齒輪數有關。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</w:t>
            </w:r>
          </w:p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</w:t>
            </w:r>
          </w:p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行為觀察</w:t>
            </w:r>
          </w:p>
          <w:p w:rsidR="00576F57" w:rsidRPr="00015CE1" w:rsidRDefault="00576F57" w:rsidP="00CC622D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4-3-1</w:t>
              </w:r>
            </w:smartTag>
            <w:r>
              <w:rPr>
                <w:rFonts w:ascii="標楷體" w:eastAsia="標楷體" w:hAnsi="標楷體" w:cs="NaniMtmn-Medium"/>
                <w:kern w:val="0"/>
                <w:sz w:val="22"/>
              </w:rPr>
              <w:t xml:space="preserve"> </w:t>
            </w:r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</w:rPr>
                <w:t>4-3-2</w:t>
              </w:r>
            </w:smartTag>
          </w:p>
          <w:p w:rsidR="00576F57" w:rsidRDefault="00576F57" w:rsidP="00711AF5">
            <w:pPr>
              <w:adjustRightInd w:val="0"/>
              <w:snapToGrid w:val="0"/>
              <w:ind w:firstLineChars="200" w:firstLine="440"/>
              <w:rPr>
                <w:rFonts w:ascii="標楷體" w:eastAsia="標楷體" w:hAnsi="標楷體" w:cs="NaniMtmn-Medium"/>
                <w:sz w:val="22"/>
              </w:rPr>
            </w:pPr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【資訊教育】</w:t>
            </w:r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4-3-1</w:t>
              </w:r>
            </w:smartTag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4-3-5</w:t>
              </w:r>
            </w:smartTag>
            <w:r>
              <w:rPr>
                <w:rFonts w:ascii="標楷體" w:eastAsia="標楷體" w:hAnsi="標楷體" w:cs="NaniMtmn-Medium"/>
                <w:kern w:val="0"/>
                <w:sz w:val="22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76F57" w:rsidRPr="00015CE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57" w:rsidRDefault="00576F5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一、巧妙的施力工具</w:t>
            </w:r>
          </w:p>
          <w:p w:rsidR="00576F57" w:rsidRDefault="00576F5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滑輪與輪軸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6-3-3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體會在執行的環節中，有許多關鍵性的因素需要考量。</w:t>
            </w:r>
          </w:p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7-3-0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把學習到的科學知識和技能應用於生活中。</w:t>
            </w:r>
          </w:p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7-3-0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-4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察覺許多巧妙的工具常是簡單科學原理的應用。</w:t>
            </w:r>
          </w:p>
          <w:p w:rsidR="00576F57" w:rsidRDefault="00576F57">
            <w:pPr>
              <w:widowControl w:val="0"/>
              <w:rPr>
                <w:rFonts w:ascii="標楷體" w:eastAsia="標楷體" w:hAnsi="標楷體" w:cs="Arial Unicode MS"/>
                <w:color w:val="FF0000"/>
                <w:kern w:val="2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透過實際操作學習槓桿原理，並能將其應用在生活中。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實際操作驗證定滑輪與動滑輪的槓桿功能，並了解其裝置是否省力。</w:t>
            </w:r>
          </w:p>
          <w:p w:rsidR="00576F57" w:rsidRDefault="00576F57" w:rsidP="006C35A2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3.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了解輪軸轉動時是同步進行，並了解其在日常生活中的應用。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4.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了解皮帶與鏈條可以帶動齒輪轉動傳送動力，並了解其在日常生活中的應用。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</w:t>
            </w:r>
          </w:p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</w:t>
            </w:r>
          </w:p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行為觀察</w:t>
            </w:r>
          </w:p>
          <w:p w:rsidR="00576F57" w:rsidRPr="00015CE1" w:rsidRDefault="00576F57" w:rsidP="00CC622D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4-3-1</w:t>
              </w:r>
            </w:smartTag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 w:cs="NaniMtmn-Medium"/>
                <w:sz w:val="22"/>
              </w:rPr>
            </w:pPr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【資訊教育】</w:t>
            </w:r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4-3-1</w:t>
              </w:r>
            </w:smartTag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【生涯教育】</w:t>
            </w:r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/>
                  <w:bCs/>
                </w:rPr>
                <w:t>3-2-2</w:t>
              </w:r>
            </w:smartTag>
          </w:p>
          <w:p w:rsidR="00576F57" w:rsidRDefault="00576F57">
            <w:pPr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76F57" w:rsidRPr="00015CE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57" w:rsidRDefault="00576F5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一、巧妙的施力工具</w:t>
            </w:r>
          </w:p>
          <w:p w:rsidR="00576F57" w:rsidRDefault="00576F5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動力傳送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kern w:val="2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1-3-2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實際操作前，估量「變量」可能的大小及變化範圍。</w:t>
            </w:r>
          </w:p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1-3-2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由改變量與本量之比例，評估變化程度。</w:t>
            </w:r>
          </w:p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1-3-5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將資料用合適的圖表來表達。</w:t>
            </w:r>
          </w:p>
          <w:p w:rsidR="00576F57" w:rsidRPr="006C35A2" w:rsidRDefault="00576F57" w:rsidP="006C35A2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3-3-0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發現運用科學知識來做推論，可推論一些事並獲得證實。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透過實際操作學習槓桿原理，並能將其應用在生活中。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實際操作驗證定滑輪與動滑輪的槓桿功能，並了解其裝置是否省力。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3.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了解輪軸轉動時是同步進行，並了解其在日常生活中的應用。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4.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了解齒輪的構造，當齒輪密合轉動，齒輪轉動的方向是不相同的，且轉動的圈數與齒輪數有關。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</w:t>
            </w:r>
          </w:p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</w:t>
            </w:r>
          </w:p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行為觀察</w:t>
            </w:r>
          </w:p>
          <w:p w:rsidR="00576F57" w:rsidRPr="00015CE1" w:rsidRDefault="00576F57" w:rsidP="00CC622D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4-3-1</w:t>
              </w:r>
            </w:smartTag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4-3-2</w:t>
              </w:r>
            </w:smartTag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 w:cs="NaniMtmn-Medium"/>
                <w:sz w:val="22"/>
              </w:rPr>
            </w:pPr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【資訊教育】</w:t>
            </w:r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4-3-1</w:t>
              </w:r>
            </w:smartTag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4-3-5</w:t>
              </w:r>
            </w:smartTag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【生涯教育】</w:t>
            </w:r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/>
                  <w:bCs/>
                </w:rPr>
                <w:t>3-2-2</w:t>
              </w:r>
            </w:smartTag>
          </w:p>
          <w:p w:rsidR="00576F57" w:rsidRDefault="00576F57">
            <w:pPr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將同學的學習成果或相關的學習資訊放在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classroom</w:t>
            </w:r>
          </w:p>
        </w:tc>
      </w:tr>
      <w:tr w:rsidR="00576F57" w:rsidRPr="00015CE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57" w:rsidRDefault="00576F5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一、巧妙的施力工具</w:t>
            </w:r>
          </w:p>
          <w:p w:rsidR="00576F57" w:rsidRDefault="00576F5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動力傳送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 w:rsidP="00AB0F66">
            <w:pPr>
              <w:rPr>
                <w:rFonts w:ascii="標楷體" w:eastAsia="標楷體" w:hAnsi="標楷體" w:cs="Arial Unicode MS"/>
                <w:color w:val="000000"/>
                <w:kern w:val="2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1-3-2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實際操作前，估量「變量」可能的大小及變化範圍。</w:t>
            </w:r>
          </w:p>
          <w:p w:rsidR="00576F57" w:rsidRDefault="00576F57" w:rsidP="00AB0F66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1-3-2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由改變量與本量之比例，評估變化程度。</w:t>
            </w:r>
          </w:p>
          <w:p w:rsidR="00576F57" w:rsidRDefault="00576F57" w:rsidP="00AB0F66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1-3-5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將資料用合適的圖表來表達。</w:t>
            </w:r>
          </w:p>
          <w:p w:rsidR="00576F57" w:rsidRPr="006C35A2" w:rsidRDefault="00576F57" w:rsidP="00AB0F66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3-3-0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發現運用科學知識來做推論，可推論一些事並獲得證實。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 w:rsidP="006C35A2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透過實際操作學習槓桿原理，並能將其應用在生活中。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透過觀察腳踏車的構造，了解其傳動是依靠鏈條帶動齒輪的轉動，並察覺大小齒輪的轉動方向是相同的。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3.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了解皮帶與鏈條可以帶動齒輪轉動傳送動力，並了解其在日常生活中的應用。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</w:t>
            </w:r>
          </w:p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</w:t>
            </w:r>
          </w:p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行為觀察</w:t>
            </w:r>
          </w:p>
          <w:p w:rsidR="00576F57" w:rsidRPr="00015CE1" w:rsidRDefault="00576F57" w:rsidP="00CC622D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NaniMtmn-Medium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4-3-1</w:t>
              </w:r>
            </w:smartTag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4-3-2</w:t>
              </w:r>
            </w:smartTag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 w:cs="NaniMtmn-Medium"/>
                <w:sz w:val="22"/>
              </w:rPr>
            </w:pPr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【資訊教育】</w:t>
            </w:r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4-3-1</w:t>
              </w:r>
            </w:smartTag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4-3-5</w:t>
              </w:r>
            </w:smartTag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</w:p>
          <w:p w:rsidR="00576F57" w:rsidRDefault="00576F57" w:rsidP="006C35A2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76F57" w:rsidRPr="00015CE1" w:rsidTr="006C35A2">
        <w:trPr>
          <w:trHeight w:val="1325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57" w:rsidRDefault="00576F5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二、防鏽與防腐</w:t>
            </w:r>
          </w:p>
          <w:p w:rsidR="00576F57" w:rsidRDefault="00576F5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鐵製品生鏽的探討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4-3-1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瞭解機具、材料、能源。</w:t>
            </w:r>
          </w:p>
          <w:p w:rsidR="00576F57" w:rsidRPr="006C35A2" w:rsidRDefault="00576F57" w:rsidP="006C35A2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5-3-1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相信現象的變化有其原因，要獲得什麼結果，須營造什麼變因。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經由各種物品生鏽的觀察，推論水會使鐵製品生鏽。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以鋼棉團浸溼後的變化發現，需要水與空氣兩個必要條件才能使鋼棉生鏽。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3.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由嚴謹的觀察、推理、驗證過程，客觀的認識生鏽及其防止方法。</w:t>
            </w:r>
          </w:p>
          <w:p w:rsidR="00576F57" w:rsidRDefault="00576F57" w:rsidP="006C35A2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4.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蒐集食物腐敗的資料，推論它並非僅由空氣和水兩個條件引起的變化，而是微生物引發的分解作用。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</w:t>
            </w:r>
          </w:p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</w:t>
            </w:r>
          </w:p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行為觀察</w:t>
            </w:r>
          </w:p>
          <w:p w:rsidR="00576F57" w:rsidRPr="00015CE1" w:rsidRDefault="00576F57" w:rsidP="00CC622D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NaniMtmn-Medium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2-3-3</w:t>
              </w:r>
            </w:smartTag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 w:cs="NaniMtmn-Medium"/>
                <w:sz w:val="22"/>
              </w:rPr>
            </w:pPr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【資訊教育】</w:t>
            </w:r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4-3-3</w:t>
              </w:r>
            </w:smartTag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【生涯教育】</w:t>
            </w:r>
          </w:p>
          <w:p w:rsidR="00576F57" w:rsidRPr="006C35A2" w:rsidRDefault="00576F57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/>
                  <w:bCs/>
                </w:rPr>
                <w:t>3-2-2</w:t>
              </w:r>
            </w:smartTag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76F57" w:rsidRPr="00015CE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57" w:rsidRDefault="00576F5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二、防鏽與防腐</w:t>
            </w:r>
          </w:p>
          <w:p w:rsidR="00576F57" w:rsidRDefault="00576F57">
            <w:pPr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鐵製品生鏽的探討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kern w:val="2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1-3-1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能依規劃的實際操作步驟來執行操作。</w:t>
            </w:r>
          </w:p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1-3-3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實際操作時，確認相關的變因，做操控運作。</w:t>
            </w:r>
          </w:p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1-3-4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能由一些不同來源的資料，整理出一個整體性的看法。</w:t>
            </w:r>
          </w:p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1-3-4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由資料顯示的相關，推測其背後可能的因果關係。</w:t>
            </w:r>
          </w:p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的解釋。</w:t>
            </w:r>
          </w:p>
          <w:p w:rsidR="00576F57" w:rsidRDefault="00576F57">
            <w:pPr>
              <w:widowControl w:val="0"/>
              <w:rPr>
                <w:rFonts w:ascii="標楷體" w:eastAsia="標楷體" w:hAnsi="標楷體" w:cs="Arial Unicode MS"/>
                <w:color w:val="FF0000"/>
                <w:kern w:val="2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經由各種物品生鏽的觀察，推論水會使鐵製品生鏽。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以鋼棉團浸溼後的變化發現，需要水與空氣兩個必要條件才能使鋼棉生鏽。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3.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由嚴謹的觀察、推理、驗證過程，客觀的認識生鏽及其防止方法。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4.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認識食品包裝的資訊，並了解添加物、防腐劑是為了增加保存期限的方式。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</w:t>
            </w:r>
          </w:p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</w:t>
            </w:r>
          </w:p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行為觀察</w:t>
            </w:r>
          </w:p>
          <w:p w:rsidR="00576F57" w:rsidRPr="00015CE1" w:rsidRDefault="00576F57" w:rsidP="00CC622D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2-3-3</w:t>
              </w:r>
            </w:smartTag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【生涯教育】</w:t>
            </w:r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/>
                  <w:bCs/>
                </w:rPr>
                <w:t>3-2-2</w:t>
              </w:r>
            </w:smartTag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76F57" w:rsidRPr="00015CE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57" w:rsidRDefault="00576F5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二、防鏽與防腐</w:t>
            </w:r>
          </w:p>
          <w:p w:rsidR="00576F57" w:rsidRDefault="00576F5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防止鐵製品生鏽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2-3-1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提出問題、研商處理問題的策略、「學習」操控變因、觀察事象的變化並推測可能的因果關係。學習資料整理、設計表格、圖表來表示資料。學習由變量與應變量之間相應的情形，提出假設或做出合理的解釋。</w:t>
            </w:r>
          </w:p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2-3-3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認識物質的性質，探討光、溫度和空氣對物質性質變化的影響。</w:t>
            </w:r>
          </w:p>
          <w:p w:rsidR="00576F57" w:rsidRPr="006C35A2" w:rsidRDefault="00576F57" w:rsidP="006C35A2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2-3-6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認識日常用品的製造材料（如木材、金屬、塑膠）。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經由各種物品生鏽的觀察，推論水會使鐵製品生鏽。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以鋼棉團浸溼後的變化發現，需要水與空氣兩個必要條件才能使鋼棉生鏽。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3.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由嚴謹的觀察、推理、驗證過程，客觀的認識生鏽及其防止方法。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4.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蒐集食物腐敗的資料，推論它並非僅由空氣和水兩個條件引起的變化，而是微生物引發的分解作用。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</w:t>
            </w:r>
          </w:p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</w:t>
            </w:r>
          </w:p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行為觀察</w:t>
            </w:r>
          </w:p>
          <w:p w:rsidR="00576F57" w:rsidRPr="00015CE1" w:rsidRDefault="00576F57" w:rsidP="00CC622D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2-3-3</w:t>
              </w:r>
            </w:smartTag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 w:cs="NaniMtmn-Medium"/>
                <w:sz w:val="22"/>
              </w:rPr>
            </w:pPr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【資訊教育】</w:t>
            </w:r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4-3-3</w:t>
              </w:r>
            </w:smartTag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【生涯教育】</w:t>
            </w:r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/>
                  <w:bCs/>
                </w:rPr>
                <w:t>3-2-2</w:t>
              </w:r>
            </w:smartTag>
          </w:p>
          <w:p w:rsidR="00576F57" w:rsidRDefault="00576F57">
            <w:pPr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jc w:val="both"/>
              <w:rPr>
                <w:rFonts w:ascii="標楷體" w:eastAsia="標楷體" w:hAnsi="標楷體" w:cs="標楷體"/>
                <w:color w:val="AEAAAA"/>
                <w:sz w:val="22"/>
              </w:rPr>
            </w:pPr>
          </w:p>
        </w:tc>
      </w:tr>
      <w:tr w:rsidR="00576F57" w:rsidRPr="00015CE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57" w:rsidRDefault="00576F5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二、防鏽與防腐</w:t>
            </w:r>
          </w:p>
          <w:p w:rsidR="00576F57" w:rsidRDefault="00576F5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防止鐵製品生鏽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4-3-1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了解機具、材料、能源。</w:t>
            </w:r>
          </w:p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5-3-1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相信現象的變化有其原因，要獲得什麼結果，需營造什麼變因。</w:t>
            </w:r>
          </w:p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6-3-3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體會在執行的環節中，有許多關鍵性的因素需要考量。</w:t>
            </w:r>
          </w:p>
          <w:p w:rsidR="00576F57" w:rsidRDefault="00576F57">
            <w:pPr>
              <w:widowControl w:val="0"/>
              <w:rPr>
                <w:rFonts w:ascii="標楷體" w:eastAsia="標楷體" w:hAnsi="標楷體" w:cs="Arial Unicode MS"/>
                <w:color w:val="000000"/>
                <w:kern w:val="2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7-3-0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把學習到的科學知識和技能應用於生活中。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經由各種物品生鏽的觀察，推論水會使鐵製品生鏽。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以鋼棉團浸溼後的變化發現，需要水與空氣兩個必要條件才能使鋼棉生鏽。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3.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由嚴謹的觀察、推理、驗證過程，客觀的認識生鏽及其防止方法。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4.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蒐集食物腐敗的資料，推論它並非僅由空氣和水兩個條件引起的變化，而是微生物引發的分解作用。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</w:t>
            </w:r>
          </w:p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</w:t>
            </w:r>
          </w:p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行為觀察</w:t>
            </w:r>
          </w:p>
          <w:p w:rsidR="00576F57" w:rsidRPr="00015CE1" w:rsidRDefault="00576F57" w:rsidP="00CC622D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2-3-3</w:t>
              </w:r>
            </w:smartTag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 w:cs="NaniMtmn-Medium"/>
                <w:sz w:val="22"/>
              </w:rPr>
            </w:pPr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【資訊教育】</w:t>
            </w:r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4-3-3</w:t>
              </w:r>
            </w:smartTag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【生涯教育】</w:t>
            </w:r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/>
                  <w:bCs/>
                </w:rPr>
                <w:t>3-2-2</w:t>
              </w:r>
            </w:smartTag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jc w:val="both"/>
              <w:rPr>
                <w:rFonts w:ascii="標楷體" w:eastAsia="標楷體" w:hAnsi="標楷體" w:cs="標楷體"/>
                <w:color w:val="FF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將同學的學習成果或相關的學習資訊放在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classroom</w:t>
            </w:r>
          </w:p>
        </w:tc>
      </w:tr>
      <w:tr w:rsidR="00576F57" w:rsidRPr="00015CE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57" w:rsidRDefault="00576F5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十一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二、防鏽與防腐</w:t>
            </w:r>
          </w:p>
          <w:p w:rsidR="00576F57" w:rsidRDefault="00576F5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食物的腐敗與保存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rPr>
                <w:rFonts w:ascii="標楷體" w:eastAsia="標楷體" w:hAnsi="標楷體"/>
                <w:color w:val="000000"/>
                <w:kern w:val="2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/>
                  <w:color w:val="000000"/>
                  <w:sz w:val="22"/>
                  <w:szCs w:val="22"/>
                </w:rPr>
                <w:t>1-3-1</w:t>
              </w:r>
            </w:smartTag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能依規畫的實際操作步驟來執行操作。</w:t>
            </w:r>
          </w:p>
          <w:p w:rsidR="00576F57" w:rsidRDefault="00576F57">
            <w:pPr>
              <w:rPr>
                <w:rFonts w:ascii="標楷體" w:eastAsia="標楷體" w:hAnsi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/>
                  <w:color w:val="000000"/>
                  <w:sz w:val="22"/>
                  <w:szCs w:val="22"/>
                </w:rPr>
                <w:t>1-3-3</w:t>
              </w:r>
            </w:smartTag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實際操作時確認相關的變因，做操控運作。</w:t>
            </w:r>
          </w:p>
          <w:p w:rsidR="00576F57" w:rsidRPr="006C35A2" w:rsidRDefault="00576F57" w:rsidP="006C35A2">
            <w:pPr>
              <w:rPr>
                <w:rFonts w:ascii="標楷體" w:eastAsia="標楷體" w:hAnsi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/>
                  <w:color w:val="000000"/>
                  <w:sz w:val="22"/>
                  <w:szCs w:val="22"/>
                </w:rPr>
                <w:t>1-3-4</w:t>
              </w:r>
            </w:smartTag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能由各不同來源的資料，整理出一個整體性的看法。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經由各種物品生鏽的觀察，推論水會使鐵製品生鏽。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以鋼棉團浸溼後的變化發現，需要水與空氣兩個必要條件才能使鋼棉生鏽。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3.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由嚴謹的觀察、推理、驗證過程，客觀的認識生鏽及其防止方法。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4.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認識食品包裝的資訊，並了解添加物、防腐劑是為了增加保存期限的方式。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</w:t>
            </w:r>
          </w:p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</w:t>
            </w:r>
          </w:p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行為觀察</w:t>
            </w:r>
          </w:p>
          <w:p w:rsidR="00576F57" w:rsidRPr="00015CE1" w:rsidRDefault="00576F57" w:rsidP="00CC622D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2-3-3</w:t>
              </w:r>
            </w:smartTag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 w:cs="NaniMtmn-Medium"/>
                <w:sz w:val="22"/>
              </w:rPr>
            </w:pPr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【家政教育】</w:t>
            </w:r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1-3-5</w:t>
              </w:r>
            </w:smartTag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1-3-6</w:t>
              </w:r>
            </w:smartTag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jc w:val="both"/>
              <w:rPr>
                <w:rFonts w:ascii="標楷體" w:eastAsia="標楷體" w:hAnsi="標楷體" w:cs="標楷體"/>
                <w:color w:val="FF0000"/>
                <w:sz w:val="22"/>
              </w:rPr>
            </w:pPr>
          </w:p>
        </w:tc>
      </w:tr>
      <w:tr w:rsidR="00576F57" w:rsidRPr="00015CE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57" w:rsidRDefault="00576F5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十二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二、防鏽與防腐</w:t>
            </w:r>
          </w:p>
          <w:p w:rsidR="00576F57" w:rsidRDefault="00576F5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食物的腐敗與保存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 w:rsidP="005C228D">
            <w:pPr>
              <w:rPr>
                <w:rFonts w:ascii="標楷體" w:eastAsia="標楷體" w:hAnsi="標楷體"/>
                <w:color w:val="000000"/>
                <w:kern w:val="2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/>
                  <w:color w:val="000000"/>
                  <w:sz w:val="22"/>
                  <w:szCs w:val="22"/>
                </w:rPr>
                <w:t>1-3-1</w:t>
              </w:r>
            </w:smartTag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能依規畫的實際操作步驟來執行操作。</w:t>
            </w:r>
          </w:p>
          <w:p w:rsidR="00576F57" w:rsidRDefault="00576F57" w:rsidP="005C228D">
            <w:pPr>
              <w:rPr>
                <w:rFonts w:ascii="標楷體" w:eastAsia="標楷體" w:hAnsi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/>
                  <w:color w:val="000000"/>
                  <w:sz w:val="22"/>
                  <w:szCs w:val="22"/>
                </w:rPr>
                <w:t>1-3-3</w:t>
              </w:r>
            </w:smartTag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實際操作時確認相關的變因，做操控運作。</w:t>
            </w:r>
          </w:p>
          <w:p w:rsidR="00576F57" w:rsidRPr="006C35A2" w:rsidRDefault="00576F57" w:rsidP="005C228D">
            <w:pPr>
              <w:rPr>
                <w:rFonts w:ascii="標楷體" w:eastAsia="標楷體" w:hAnsi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/>
                  <w:color w:val="000000"/>
                  <w:sz w:val="22"/>
                  <w:szCs w:val="22"/>
                </w:rPr>
                <w:t>1-3-4</w:t>
              </w:r>
            </w:smartTag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能由各不同來源的資料，整理出一個整體性的看法。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 w:rsidP="005C228D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經由各種物品生鏽的觀察，推論水會使鐵製品生鏽。</w:t>
            </w:r>
          </w:p>
          <w:p w:rsidR="00576F57" w:rsidRDefault="00576F57" w:rsidP="005C228D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以鋼棉團浸溼後的變化發現，需要水與空氣兩個必要條件才能使鋼棉生鏽。</w:t>
            </w:r>
          </w:p>
          <w:p w:rsidR="00576F57" w:rsidRDefault="00576F57" w:rsidP="005C228D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3.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由嚴謹的觀察、推理、驗證過程，客觀的認識生鏽及其防止方法。</w:t>
            </w:r>
          </w:p>
          <w:p w:rsidR="00576F57" w:rsidRDefault="00576F57" w:rsidP="005C228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4.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認識食品包裝的資訊，並了解添加物、防腐劑是為了增加保存期限的方式。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</w:t>
            </w:r>
          </w:p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</w:t>
            </w:r>
          </w:p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行為觀察</w:t>
            </w:r>
          </w:p>
          <w:p w:rsidR="00576F57" w:rsidRPr="00015CE1" w:rsidRDefault="00576F57" w:rsidP="00CC622D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2-3-3</w:t>
              </w:r>
            </w:smartTag>
          </w:p>
          <w:p w:rsidR="00576F57" w:rsidRPr="00AA1439" w:rsidRDefault="00576F57" w:rsidP="00AA1439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r>
              <w:rPr>
                <w:rFonts w:ascii="標楷體" w:eastAsia="標楷體" w:hAnsi="標楷體" w:cs="NaniMtmn-Medium"/>
                <w:kern w:val="0"/>
                <w:sz w:val="22"/>
              </w:rPr>
              <w:t xml:space="preserve"> </w:t>
            </w:r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【資訊教育】</w:t>
            </w:r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4-3-3</w:t>
              </w:r>
            </w:smartTag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【生涯教育】</w:t>
            </w:r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/>
                  <w:bCs/>
                </w:rPr>
                <w:t>3-2-2</w:t>
              </w:r>
            </w:smartTag>
          </w:p>
          <w:p w:rsidR="00576F57" w:rsidRDefault="00576F57" w:rsidP="00AA1439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</w:p>
          <w:p w:rsidR="00576F57" w:rsidRDefault="00576F57" w:rsidP="00AA1439">
            <w:pPr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76F57" w:rsidRPr="00015CE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57" w:rsidRDefault="00576F5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十三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三、珍愛家園</w:t>
            </w:r>
          </w:p>
          <w:p w:rsidR="00576F57" w:rsidRDefault="00576F5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生物與環境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kern w:val="2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1-3-1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察覺一個問題或事件，常可由不同的角度來觀察而看出不同的特徵。</w:t>
            </w:r>
          </w:p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1-3-4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能由一些不同來源的資料，整理出一個整體性的看法。</w:t>
            </w:r>
          </w:p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1-3-4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辨識出資料的特徵及通則性並做詮釋。</w:t>
            </w:r>
          </w:p>
          <w:p w:rsidR="00576F57" w:rsidRPr="00C003F1" w:rsidRDefault="00576F57" w:rsidP="00C003F1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1-3-4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由資料顯示的相關，推測其背後可能的因果關係。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探討生物與環境的關係。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認識人類永續利用自然資源的方法。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3.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察覺自然環境會隨著人類運用自然資源而改變。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4.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透過檢視家園面臨的各種環境問題，探討這些問題產生的原因及可能解決之道。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</w:t>
            </w:r>
          </w:p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</w:t>
            </w:r>
          </w:p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行為觀察</w:t>
            </w:r>
          </w:p>
          <w:p w:rsidR="00576F57" w:rsidRPr="00015CE1" w:rsidRDefault="00576F57" w:rsidP="00CC622D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2-3-1</w:t>
              </w:r>
            </w:smartTag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4-3-1</w:t>
              </w:r>
            </w:smartTag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5-3-1</w:t>
              </w:r>
            </w:smartTag>
            <w:r>
              <w:rPr>
                <w:rFonts w:ascii="標楷體" w:eastAsia="標楷體" w:hAnsi="標楷體" w:cs="NaniMtmn-Medium"/>
                <w:kern w:val="0"/>
                <w:sz w:val="22"/>
              </w:rPr>
              <w:t xml:space="preserve"> </w:t>
            </w:r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 w:cs="NaniMtmn-Medium"/>
                <w:sz w:val="22"/>
              </w:rPr>
            </w:pPr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【資訊教育】</w:t>
            </w:r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4-3-5</w:t>
              </w:r>
            </w:smartTag>
          </w:p>
          <w:p w:rsidR="00576F57" w:rsidRDefault="00576F57">
            <w:pPr>
              <w:adjustRightInd w:val="0"/>
              <w:snapToGrid w:val="0"/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  <w:szCs w:val="22"/>
                </w:rPr>
                <w:t>5-3-1</w:t>
              </w:r>
            </w:smartTag>
            <w:r>
              <w:rPr>
                <w:rFonts w:ascii="標楷體" w:eastAsia="標楷體" w:hAnsi="標楷體" w:cs="NaniMtmn-Medium"/>
                <w:kern w:val="0"/>
                <w:sz w:val="22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76F57" w:rsidRPr="00015CE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57" w:rsidRDefault="00576F5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十四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三、珍愛家園</w:t>
            </w:r>
          </w:p>
          <w:p w:rsidR="00576F57" w:rsidRDefault="00576F5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生物與環境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2-3-2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察覺植物根、莖、葉、花、果、種子各具功能。照光、溫度、溼度、土壤影響植物的生活，不同棲息地適應下來的植物也各不相同。發現植物繁殖的方法有許多種。</w:t>
            </w:r>
          </w:p>
          <w:p w:rsidR="00576F57" w:rsidRPr="00C003F1" w:rsidRDefault="00576F57" w:rsidP="00C003F1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2-3-2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觀察動物形態及運動方式之特殊性及共通性。觀察動物如何保持體溫、覓食、生殖、傳遞訊息、從事社會性的行為及在棲息地調適生活等動物生態。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探討生物與環境的關係。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認識人類永續利用自然資源的方法。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3.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察覺自然環境會隨著人類運用自然資源而改變。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4.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經由實際參與環保相關活動，引導學生以行動來愛護生活周遭的自然生態環境。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</w:t>
            </w:r>
          </w:p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</w:t>
            </w:r>
          </w:p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行為觀察</w:t>
            </w:r>
          </w:p>
          <w:p w:rsidR="00576F57" w:rsidRPr="00015CE1" w:rsidRDefault="00576F57" w:rsidP="00CC622D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Pr="00711AF5" w:rsidRDefault="00576F57" w:rsidP="00711AF5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【環境</w:t>
            </w:r>
            <w:r w:rsidRPr="00711AF5">
              <w:rPr>
                <w:rFonts w:ascii="標楷體" w:eastAsia="標楷體" w:hAnsi="標楷體" w:hint="eastAsia"/>
                <w:color w:val="000000"/>
                <w:sz w:val="22"/>
              </w:rPr>
              <w:t>教育】</w:t>
            </w:r>
          </w:p>
          <w:p w:rsidR="00576F57" w:rsidRDefault="00576F57" w:rsidP="00711AF5">
            <w:pPr>
              <w:rPr>
                <w:rFonts w:ascii="標楷體" w:eastAsia="標楷體" w:hAnsi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/>
                  <w:color w:val="000000"/>
                  <w:sz w:val="22"/>
                </w:rPr>
                <w:t>2-3-1</w:t>
              </w:r>
            </w:smartTag>
          </w:p>
          <w:p w:rsidR="00576F57" w:rsidRDefault="00576F57" w:rsidP="00711AF5">
            <w:pPr>
              <w:rPr>
                <w:rFonts w:ascii="標楷體" w:eastAsia="標楷體" w:hAnsi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/>
                  <w:color w:val="000000"/>
                  <w:sz w:val="22"/>
                </w:rPr>
                <w:t>2-3-2</w:t>
              </w:r>
            </w:smartTag>
          </w:p>
          <w:p w:rsidR="00576F57" w:rsidRDefault="00576F57" w:rsidP="00711AF5">
            <w:pPr>
              <w:rPr>
                <w:rFonts w:ascii="標楷體" w:eastAsia="標楷體" w:hAnsi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711AF5">
                <w:rPr>
                  <w:rFonts w:ascii="標楷體" w:eastAsia="標楷體" w:hAnsi="標楷體"/>
                  <w:color w:val="000000"/>
                  <w:sz w:val="22"/>
                </w:rPr>
                <w:t>4-3-1</w:t>
              </w:r>
            </w:smartTag>
          </w:p>
          <w:p w:rsidR="00576F57" w:rsidRPr="00711AF5" w:rsidRDefault="00576F57" w:rsidP="00711AF5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711AF5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  <w:p w:rsidR="00576F57" w:rsidRPr="00711AF5" w:rsidRDefault="00576F57" w:rsidP="00711AF5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711AF5">
              <w:rPr>
                <w:rFonts w:ascii="標楷體" w:eastAsia="標楷體" w:hAnsi="標楷體" w:hint="eastAsia"/>
                <w:color w:val="000000"/>
                <w:sz w:val="22"/>
              </w:rPr>
              <w:t>【資訊教育】</w:t>
            </w:r>
          </w:p>
          <w:p w:rsidR="00576F57" w:rsidRDefault="00576F57" w:rsidP="00711AF5">
            <w:pPr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711AF5">
                <w:rPr>
                  <w:rFonts w:ascii="標楷體" w:eastAsia="標楷體" w:hAnsi="標楷體"/>
                  <w:color w:val="000000"/>
                  <w:sz w:val="22"/>
                </w:rPr>
                <w:t>4-3-5</w:t>
              </w:r>
            </w:smartTag>
            <w:r>
              <w:rPr>
                <w:rFonts w:ascii="標楷體" w:eastAsia="標楷體" w:hAnsi="標楷體" w:cs="NaniMtmn-Medium"/>
                <w:kern w:val="0"/>
                <w:sz w:val="22"/>
              </w:rPr>
              <w:t xml:space="preserve"> </w:t>
            </w:r>
          </w:p>
          <w:p w:rsidR="00576F57" w:rsidRDefault="00576F57" w:rsidP="00711AF5">
            <w:pPr>
              <w:rPr>
                <w:rFonts w:ascii="標楷體" w:eastAsia="標楷體" w:hAnsi="標楷體" w:cs="NaniMtmn-Medium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NaniMtmn-Medium"/>
                  <w:kern w:val="0"/>
                  <w:sz w:val="22"/>
                </w:rPr>
                <w:t>5-3-1</w:t>
              </w:r>
            </w:smartTag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76F57" w:rsidRPr="00015CE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57" w:rsidRDefault="00576F5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十五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三、珍愛家園</w:t>
            </w:r>
          </w:p>
          <w:p w:rsidR="00576F57" w:rsidRDefault="00576F5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人類與環境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6-3-2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察覺不同的辦法，常也能做出相同的結果。</w:t>
            </w:r>
          </w:p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6-3-2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相信自己常能想出好主意來完成一件事。</w:t>
            </w:r>
          </w:p>
          <w:p w:rsidR="00576F57" w:rsidRPr="006C35A2" w:rsidRDefault="00576F57" w:rsidP="006C35A2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6-3-2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面對問題時，能做多方思考，提出解決方法。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探討生物與環境的關係。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認識人類永續利用自然資源的方法。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3.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察覺自然環境會隨著人類運用自然資源而改變。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4.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透過檢視家園面臨的各種環境問題，探討這些問題產生的原因及可能解決之道。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</w:t>
            </w:r>
          </w:p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</w:t>
            </w:r>
          </w:p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行為觀察</w:t>
            </w:r>
          </w:p>
          <w:p w:rsidR="00576F57" w:rsidRPr="00015CE1" w:rsidRDefault="00576F57" w:rsidP="00CC622D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 w:rsidP="00711AF5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711AF5">
              <w:rPr>
                <w:rFonts w:ascii="標楷體" w:eastAsia="標楷體" w:hAnsi="標楷體" w:hint="eastAsia"/>
                <w:color w:val="000000"/>
                <w:sz w:val="22"/>
              </w:rPr>
              <w:t>法定：低碳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環境教育</w:t>
            </w:r>
          </w:p>
          <w:p w:rsidR="00576F57" w:rsidRPr="00711AF5" w:rsidRDefault="00576F57" w:rsidP="00711AF5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576F57" w:rsidRPr="00711AF5" w:rsidRDefault="00576F57" w:rsidP="00711AF5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【環境</w:t>
            </w:r>
            <w:r w:rsidRPr="00711AF5">
              <w:rPr>
                <w:rFonts w:ascii="標楷體" w:eastAsia="標楷體" w:hAnsi="標楷體" w:hint="eastAsia"/>
                <w:color w:val="000000"/>
                <w:sz w:val="22"/>
              </w:rPr>
              <w:t>教育】</w:t>
            </w:r>
          </w:p>
          <w:p w:rsidR="00576F57" w:rsidRDefault="00576F57" w:rsidP="00711AF5">
            <w:pPr>
              <w:rPr>
                <w:rFonts w:ascii="標楷體" w:eastAsia="標楷體" w:hAnsi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/>
                  <w:color w:val="000000"/>
                  <w:sz w:val="22"/>
                </w:rPr>
                <w:t>4-3-3</w:t>
              </w:r>
            </w:smartTag>
          </w:p>
          <w:p w:rsidR="00576F57" w:rsidRDefault="00576F57" w:rsidP="00711AF5">
            <w:pPr>
              <w:rPr>
                <w:rFonts w:ascii="標楷體" w:eastAsia="標楷體" w:hAnsi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/>
                  <w:color w:val="000000"/>
                  <w:sz w:val="22"/>
                </w:rPr>
                <w:t>4-3-4</w:t>
              </w:r>
            </w:smartTag>
          </w:p>
          <w:p w:rsidR="00576F57" w:rsidRPr="00711AF5" w:rsidRDefault="00576F57" w:rsidP="00711AF5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711AF5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  <w:p w:rsidR="00576F57" w:rsidRPr="00711AF5" w:rsidRDefault="00576F57" w:rsidP="00711AF5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711AF5">
              <w:rPr>
                <w:rFonts w:ascii="標楷體" w:eastAsia="標楷體" w:hAnsi="標楷體" w:hint="eastAsia"/>
                <w:color w:val="000000"/>
                <w:sz w:val="22"/>
              </w:rPr>
              <w:t>【資訊教育】</w:t>
            </w:r>
          </w:p>
          <w:p w:rsidR="00576F57" w:rsidRDefault="00576F57" w:rsidP="00711AF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/>
                  <w:color w:val="000000"/>
                  <w:sz w:val="22"/>
                </w:rPr>
                <w:t>4-3-3</w:t>
              </w:r>
            </w:smartTag>
          </w:p>
          <w:p w:rsidR="00576F57" w:rsidRPr="00105C85" w:rsidRDefault="00576F57" w:rsidP="00711AF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711AF5">
                <w:rPr>
                  <w:rFonts w:ascii="標楷體" w:eastAsia="標楷體" w:hAnsi="標楷體"/>
                  <w:color w:val="000000"/>
                  <w:sz w:val="22"/>
                </w:rPr>
                <w:t>4-3-5</w:t>
              </w:r>
            </w:smartTag>
          </w:p>
          <w:p w:rsidR="00576F57" w:rsidRPr="00105C85" w:rsidRDefault="00576F5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576F57" w:rsidRPr="00105C85" w:rsidRDefault="00576F5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76F57" w:rsidRPr="00015CE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57" w:rsidRDefault="00576F5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十六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三、珍愛家園</w:t>
            </w:r>
          </w:p>
          <w:p w:rsidR="00576F57" w:rsidRDefault="00576F5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愛護環境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4-3-3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瞭解社區常常見的交通設施、休閒設施等科技。</w:t>
            </w:r>
          </w:p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5-3-1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能依據自己所理解的知識，做最佳抉擇。</w:t>
            </w:r>
          </w:p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6-3-1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對他人的資訊或報告提出合理的求證和質疑。</w:t>
            </w:r>
          </w:p>
          <w:p w:rsidR="00576F57" w:rsidRPr="002524F2" w:rsidRDefault="00576F57" w:rsidP="002524F2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 w:cs="Arial Unicode MS"/>
                  <w:color w:val="000000"/>
                  <w:sz w:val="22"/>
                  <w:szCs w:val="22"/>
                </w:rPr>
                <w:t>6-3-2</w:t>
              </w:r>
            </w:smartTag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相信自己常能想出好主意來完成一件事。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探討生物與環境的關係。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認識人類永續利用自然資源的方法。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3.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察覺自然環境會隨著人類運用自然資源而改變。</w:t>
            </w:r>
          </w:p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/>
                <w:sz w:val="22"/>
                <w:szCs w:val="22"/>
              </w:rPr>
              <w:t>4.</w:t>
            </w:r>
            <w:r>
              <w:rPr>
                <w:rFonts w:ascii="標楷體" w:eastAsia="標楷體" w:hAnsi="標楷體" w:cs="Arial Unicode MS" w:hint="eastAsia"/>
                <w:sz w:val="22"/>
                <w:szCs w:val="22"/>
              </w:rPr>
              <w:t>經由實際參與環保相關活動，引導學生以行動來愛護生活周遭的自然生態環境。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</w:t>
            </w:r>
          </w:p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</w:t>
            </w:r>
          </w:p>
          <w:p w:rsidR="00576F57" w:rsidRDefault="00576F57" w:rsidP="00CC622D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行為觀察</w:t>
            </w:r>
          </w:p>
          <w:p w:rsidR="00576F57" w:rsidRPr="00015CE1" w:rsidRDefault="00576F57" w:rsidP="00CC622D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tabs>
                <w:tab w:val="left" w:pos="2042"/>
              </w:tabs>
              <w:rPr>
                <w:rFonts w:ascii="標楷體" w:eastAsia="標楷體" w:hAnsi="標楷體"/>
                <w:color w:val="000000"/>
                <w:sz w:val="22"/>
              </w:rPr>
            </w:pPr>
            <w:r w:rsidRPr="00711AF5">
              <w:rPr>
                <w:rFonts w:ascii="標楷體" w:eastAsia="標楷體" w:hAnsi="標楷體" w:hint="eastAsia"/>
                <w:color w:val="000000"/>
                <w:sz w:val="22"/>
              </w:rPr>
              <w:t>法定：低碳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環境教育</w:t>
            </w:r>
          </w:p>
          <w:p w:rsidR="00576F57" w:rsidRDefault="00576F57">
            <w:pPr>
              <w:tabs>
                <w:tab w:val="left" w:pos="2042"/>
              </w:tabs>
              <w:rPr>
                <w:rFonts w:ascii="標楷體" w:eastAsia="標楷體" w:hAnsi="標楷體"/>
                <w:color w:val="000000"/>
                <w:sz w:val="22"/>
              </w:rPr>
            </w:pPr>
          </w:p>
          <w:p w:rsidR="00576F57" w:rsidRPr="00711AF5" w:rsidRDefault="00576F57" w:rsidP="00055728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【環境</w:t>
            </w:r>
            <w:r w:rsidRPr="00711AF5">
              <w:rPr>
                <w:rFonts w:ascii="標楷體" w:eastAsia="標楷體" w:hAnsi="標楷體" w:hint="eastAsia"/>
                <w:color w:val="000000"/>
                <w:sz w:val="22"/>
              </w:rPr>
              <w:t>教育】</w:t>
            </w:r>
          </w:p>
          <w:p w:rsidR="00576F57" w:rsidRDefault="00576F57" w:rsidP="00055728">
            <w:pPr>
              <w:rPr>
                <w:rFonts w:ascii="標楷體" w:eastAsia="標楷體" w:hAnsi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/>
                  <w:color w:val="000000"/>
                  <w:sz w:val="22"/>
                </w:rPr>
                <w:t>2-3-1</w:t>
              </w:r>
            </w:smartTag>
          </w:p>
          <w:p w:rsidR="00576F57" w:rsidRDefault="00576F57" w:rsidP="00055728">
            <w:pPr>
              <w:rPr>
                <w:rFonts w:ascii="標楷體" w:eastAsia="標楷體" w:hAnsi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/>
                  <w:color w:val="000000"/>
                  <w:sz w:val="22"/>
                </w:rPr>
                <w:t>4-3-3</w:t>
              </w:r>
            </w:smartTag>
          </w:p>
          <w:p w:rsidR="00576F57" w:rsidRDefault="00576F57" w:rsidP="00055728">
            <w:pPr>
              <w:rPr>
                <w:rFonts w:ascii="標楷體" w:eastAsia="標楷體" w:hAnsi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/>
                  <w:color w:val="000000"/>
                  <w:sz w:val="22"/>
                </w:rPr>
                <w:t>4-3-4</w:t>
              </w:r>
            </w:smartTag>
          </w:p>
          <w:p w:rsidR="00576F57" w:rsidRPr="00711AF5" w:rsidRDefault="00576F57" w:rsidP="00055728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711AF5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  <w:p w:rsidR="00576F57" w:rsidRPr="00711AF5" w:rsidRDefault="00576F57" w:rsidP="00055728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711AF5">
              <w:rPr>
                <w:rFonts w:ascii="標楷體" w:eastAsia="標楷體" w:hAnsi="標楷體" w:hint="eastAsia"/>
                <w:color w:val="000000"/>
                <w:sz w:val="22"/>
              </w:rPr>
              <w:t>【資訊教育】</w:t>
            </w:r>
          </w:p>
          <w:p w:rsidR="00576F57" w:rsidRDefault="00576F57" w:rsidP="000557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標楷體"/>
                  <w:color w:val="000000"/>
                  <w:sz w:val="22"/>
                </w:rPr>
                <w:t>4-3-3</w:t>
              </w:r>
            </w:smartTag>
          </w:p>
          <w:p w:rsidR="00576F57" w:rsidRPr="00105C85" w:rsidRDefault="00576F57" w:rsidP="0005572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711AF5">
                <w:rPr>
                  <w:rFonts w:ascii="標楷體" w:eastAsia="標楷體" w:hAnsi="標楷體"/>
                  <w:color w:val="000000"/>
                  <w:sz w:val="22"/>
                </w:rPr>
                <w:t>4-3-5</w:t>
              </w:r>
            </w:smartTag>
          </w:p>
          <w:p w:rsidR="00576F57" w:rsidRPr="00105C85" w:rsidRDefault="00576F57">
            <w:pPr>
              <w:tabs>
                <w:tab w:val="left" w:pos="2042"/>
              </w:tabs>
              <w:rPr>
                <w:rFonts w:ascii="標楷體" w:eastAsia="標楷體" w:hAnsi="標楷體"/>
                <w:color w:val="000000"/>
                <w:sz w:val="22"/>
              </w:rPr>
            </w:pPr>
          </w:p>
          <w:p w:rsidR="00576F57" w:rsidRPr="00105C85" w:rsidRDefault="00576F57">
            <w:pPr>
              <w:tabs>
                <w:tab w:val="left" w:pos="2042"/>
              </w:tabs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76F57" w:rsidRPr="00015CE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57" w:rsidRDefault="00576F5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十七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Pr="0097715A" w:rsidRDefault="00576F57">
            <w:pPr>
              <w:rPr>
                <w:rFonts w:ascii="標楷體" w:eastAsia="標楷體" w:hAnsi="標楷體" w:cs="Arial Unicode MS"/>
                <w:color w:val="FF0000"/>
                <w:sz w:val="22"/>
              </w:rPr>
            </w:pPr>
            <w:r w:rsidRPr="0097715A">
              <w:rPr>
                <w:rFonts w:ascii="標楷體" w:eastAsia="標楷體" w:hAnsi="標楷體" w:cs="Arial Unicode MS"/>
                <w:color w:val="FF0000"/>
                <w:sz w:val="22"/>
                <w:szCs w:val="22"/>
              </w:rPr>
              <w:t>(</w:t>
            </w:r>
            <w:r w:rsidRPr="0097715A">
              <w:rPr>
                <w:rFonts w:ascii="標楷體" w:eastAsia="標楷體" w:hAnsi="標楷體" w:cs="Arial Unicode MS" w:hint="eastAsia"/>
                <w:color w:val="FF0000"/>
                <w:sz w:val="22"/>
                <w:szCs w:val="22"/>
              </w:rPr>
              <w:t>畢業典禮週</w:t>
            </w:r>
            <w:r w:rsidRPr="0097715A">
              <w:rPr>
                <w:rFonts w:ascii="標楷體" w:eastAsia="標楷體" w:hAnsi="標楷體" w:cs="Arial Unicode MS"/>
                <w:color w:val="FF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ind w:left="220" w:hangingChars="100" w:hanging="220"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6F57" w:rsidRDefault="00576F57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Pr="00711AF5" w:rsidRDefault="00576F57">
            <w:pPr>
              <w:tabs>
                <w:tab w:val="left" w:pos="2042"/>
              </w:tabs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6F57" w:rsidRDefault="00576F57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576F57" w:rsidRDefault="00576F57">
      <w:pPr>
        <w:rPr>
          <w:rFonts w:ascii="標楷體" w:eastAsia="標楷體" w:hAnsi="標楷體"/>
        </w:rPr>
      </w:pPr>
    </w:p>
    <w:p w:rsidR="00576F57" w:rsidRDefault="00576F57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：若為一個單元或主題跨數週實施，可合併欄位書寫。</w:t>
      </w:r>
    </w:p>
    <w:p w:rsidR="00576F57" w:rsidRDefault="00576F57">
      <w:pPr>
        <w:adjustRightInd w:val="0"/>
        <w:snapToGrid w:val="0"/>
        <w:spacing w:line="400" w:lineRule="exact"/>
      </w:pPr>
      <w:r>
        <w:rPr>
          <w:rFonts w:ascii="標楷體" w:eastAsia="標楷體" w:hAnsi="標楷體" w:hint="eastAsia"/>
        </w:rPr>
        <w:t>註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：「</w:t>
      </w:r>
      <w:r>
        <w:rPr>
          <w:rFonts w:ascii="標楷體" w:eastAsia="標楷體" w:hAnsi="標楷體" w:cs="DFKaiShu-SB-Estd-BF" w:hint="eastAsia"/>
          <w:kern w:val="0"/>
        </w:rPr>
        <w:t>議題融入」中「法定議題」為必要項目：</w:t>
      </w:r>
      <w:r>
        <w:rPr>
          <w:rFonts w:ascii="標楷體" w:eastAsia="標楷體" w:hAnsi="標楷體" w:hint="eastAsia"/>
        </w:rPr>
        <w:t>依每學年度核定函辦理</w:t>
      </w:r>
      <w:r>
        <w:rPr>
          <w:rFonts w:ascii="標楷體" w:eastAsia="標楷體" w:hAnsi="標楷體" w:cs="DFKaiShu-SB-Estd-BF" w:hint="eastAsia"/>
          <w:kern w:val="0"/>
        </w:rPr>
        <w:t>。</w:t>
      </w:r>
    </w:p>
    <w:p w:rsidR="00576F57" w:rsidRDefault="00576F57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請與</w:t>
      </w:r>
      <w:r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附件参</w:t>
      </w:r>
      <w:r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  <w:r>
        <w:rPr>
          <w:rFonts w:ascii="標楷體" w:eastAsia="標楷體" w:hAnsi="標楷體"/>
          <w:sz w:val="28"/>
          <w:szCs w:val="28"/>
        </w:rPr>
        <w:t>(e-2)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</w:rPr>
        <w:t>「法律規定教育議題或重要宣導融入課程規劃檢核表」相對照。</w:t>
      </w:r>
    </w:p>
    <w:p w:rsidR="00576F57" w:rsidRDefault="00576F57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hint="eastAsia"/>
          <w:color w:val="FF0000"/>
        </w:rPr>
        <w:t>註</w:t>
      </w:r>
      <w:r>
        <w:rPr>
          <w:rFonts w:ascii="標楷體" w:eastAsia="標楷體" w:hAnsi="標楷體"/>
          <w:color w:val="FF0000"/>
        </w:rPr>
        <w:t>3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hint="eastAsia"/>
          <w:b/>
          <w:color w:val="FF0000"/>
          <w:u w:val="single"/>
        </w:rPr>
        <w:t>六年級第二學期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須規劃學生畢業考後至畢業前課程活動之安排。</w:t>
      </w:r>
    </w:p>
    <w:p w:rsidR="00576F57" w:rsidRDefault="00576F57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</w:t>
      </w:r>
      <w:r>
        <w:rPr>
          <w:rFonts w:ascii="標楷體" w:eastAsia="標楷體" w:hAnsi="標楷體" w:cs="DFKaiShu-SB-Estd-BF"/>
          <w:b/>
          <w:color w:val="FF0000"/>
          <w:kern w:val="0"/>
          <w:u w:val="single"/>
        </w:rPr>
        <w:t>4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：評量方式撰寫請參採「國民小學及國民中學學生成績評量準則」第五條，擇適合評量方式呈現。</w:t>
      </w:r>
    </w:p>
    <w:p w:rsidR="00576F57" w:rsidRDefault="00576F57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</w:t>
      </w:r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 w:hint="eastAsia"/>
          <w:color w:val="FF0000"/>
        </w:rPr>
        <w:t>：依據「高雄市高級中等以下學校線上教學計畫」第七點所示：「鼓勵學校於各領域課程計畫規劃時，每學期至少實施</w:t>
      </w:r>
      <w:r>
        <w:rPr>
          <w:rFonts w:ascii="標楷體" w:eastAsia="標楷體" w:hAnsi="標楷體" w:cs="標楷體"/>
          <w:color w:val="FF0000"/>
        </w:rPr>
        <w:t>3</w:t>
      </w:r>
      <w:r>
        <w:rPr>
          <w:rFonts w:ascii="標楷體" w:eastAsia="標楷體" w:hAnsi="標楷體" w:cs="標楷體" w:hint="eastAsia"/>
          <w:color w:val="FF0000"/>
        </w:rPr>
        <w:t>次線上教學」，請各校於每學期各領域</w:t>
      </w:r>
      <w:r>
        <w:rPr>
          <w:rFonts w:ascii="標楷體" w:eastAsia="標楷體" w:hAnsi="標楷體" w:cs="標楷體"/>
          <w:color w:val="FF0000"/>
        </w:rPr>
        <w:t>/</w:t>
      </w:r>
      <w:r>
        <w:rPr>
          <w:rFonts w:ascii="標楷體" w:eastAsia="標楷體" w:hAnsi="標楷體" w:cs="標楷體" w:hint="eastAsia"/>
          <w:color w:val="FF0000"/>
        </w:rPr>
        <w:t>科目課程計畫「線上教學」欄，註明預計實施線上教學之進度。</w:t>
      </w:r>
    </w:p>
    <w:p w:rsidR="00576F57" w:rsidRDefault="00576F57">
      <w:pPr>
        <w:autoSpaceDN/>
        <w:textAlignment w:val="auto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576F57" w:rsidSect="00FE7A70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MingLiU">
    <w:altName w:val="PMingLi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NaniMtmn-Mediu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3D26D0A"/>
    <w:lvl w:ilvl="0">
      <w:start w:val="1"/>
      <w:numFmt w:val="bullet"/>
      <w:lvlText w:val="□"/>
      <w:lvlJc w:val="left"/>
      <w:pPr>
        <w:ind w:left="501" w:hanging="360"/>
      </w:pPr>
      <w:rPr>
        <w:rFonts w:ascii="PMingLiU" w:eastAsia="Times New Roman" w:hAnsi="PMingLiU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00000002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0000003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0000004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0000005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0000006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969" w:hanging="4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0000007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00000008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00000009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rFonts w:cs="Times New Roman"/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9">
    <w:nsid w:val="0000000A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0000000B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0000000C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0000000D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0000000E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48D60DF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13"/>
  </w:num>
  <w:num w:numId="9">
    <w:abstractNumId w:val="4"/>
  </w:num>
  <w:num w:numId="10">
    <w:abstractNumId w:val="11"/>
  </w:num>
  <w:num w:numId="11">
    <w:abstractNumId w:val="12"/>
  </w:num>
  <w:num w:numId="12">
    <w:abstractNumId w:val="3"/>
  </w:num>
  <w:num w:numId="13">
    <w:abstractNumId w:val="1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697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A70"/>
    <w:rsid w:val="00015CE1"/>
    <w:rsid w:val="00055728"/>
    <w:rsid w:val="00105C85"/>
    <w:rsid w:val="002524F2"/>
    <w:rsid w:val="002E2073"/>
    <w:rsid w:val="00324BA7"/>
    <w:rsid w:val="003A5096"/>
    <w:rsid w:val="004548AF"/>
    <w:rsid w:val="00576F57"/>
    <w:rsid w:val="005C228D"/>
    <w:rsid w:val="006A7BD8"/>
    <w:rsid w:val="006C35A2"/>
    <w:rsid w:val="00711AF5"/>
    <w:rsid w:val="00810B2B"/>
    <w:rsid w:val="0097715A"/>
    <w:rsid w:val="00A07DC5"/>
    <w:rsid w:val="00A144E0"/>
    <w:rsid w:val="00A73BCA"/>
    <w:rsid w:val="00AA1439"/>
    <w:rsid w:val="00AB0F66"/>
    <w:rsid w:val="00B528C8"/>
    <w:rsid w:val="00C003F1"/>
    <w:rsid w:val="00C834CB"/>
    <w:rsid w:val="00CC622D"/>
    <w:rsid w:val="00CE3731"/>
    <w:rsid w:val="00CE7711"/>
    <w:rsid w:val="00E12689"/>
    <w:rsid w:val="00F121AA"/>
    <w:rsid w:val="00F8300D"/>
    <w:rsid w:val="00FE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A70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7A70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0B2B"/>
    <w:rPr>
      <w:rFonts w:ascii="Times New Roman" w:hAnsi="Times New Roman" w:cs="Times New Roman"/>
      <w:kern w:val="3"/>
      <w:sz w:val="20"/>
      <w:szCs w:val="20"/>
    </w:rPr>
  </w:style>
  <w:style w:type="character" w:customStyle="1" w:styleId="a">
    <w:name w:val="頁首 字元"/>
    <w:uiPriority w:val="99"/>
    <w:rsid w:val="00FE7A70"/>
    <w:rPr>
      <w:sz w:val="20"/>
    </w:rPr>
  </w:style>
  <w:style w:type="paragraph" w:styleId="Footer">
    <w:name w:val="footer"/>
    <w:basedOn w:val="Normal"/>
    <w:link w:val="FooterChar"/>
    <w:uiPriority w:val="99"/>
    <w:rsid w:val="00FE7A70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0B2B"/>
    <w:rPr>
      <w:rFonts w:ascii="Times New Roman" w:hAnsi="Times New Roman" w:cs="Times New Roman"/>
      <w:kern w:val="3"/>
      <w:sz w:val="20"/>
      <w:szCs w:val="20"/>
    </w:rPr>
  </w:style>
  <w:style w:type="character" w:customStyle="1" w:styleId="a0">
    <w:name w:val="頁尾 字元"/>
    <w:uiPriority w:val="99"/>
    <w:rsid w:val="00FE7A70"/>
    <w:rPr>
      <w:sz w:val="20"/>
    </w:rPr>
  </w:style>
  <w:style w:type="character" w:styleId="PageNumber">
    <w:name w:val="page number"/>
    <w:basedOn w:val="DefaultParagraphFont"/>
    <w:uiPriority w:val="99"/>
    <w:rsid w:val="00FE7A70"/>
    <w:rPr>
      <w:rFonts w:cs="Times New Roman"/>
    </w:rPr>
  </w:style>
  <w:style w:type="paragraph" w:styleId="ListParagraph">
    <w:name w:val="List Paragraph"/>
    <w:basedOn w:val="Normal"/>
    <w:uiPriority w:val="99"/>
    <w:qFormat/>
    <w:rsid w:val="00FE7A70"/>
    <w:pPr>
      <w:suppressAutoHyphens/>
      <w:ind w:left="480"/>
    </w:pPr>
  </w:style>
  <w:style w:type="character" w:styleId="CommentReference">
    <w:name w:val="annotation reference"/>
    <w:basedOn w:val="DefaultParagraphFont"/>
    <w:uiPriority w:val="99"/>
    <w:rsid w:val="00FE7A70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FE7A70"/>
    <w:pPr>
      <w:suppressAutoHyphens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10B2B"/>
    <w:rPr>
      <w:rFonts w:ascii="Times New Roman" w:hAnsi="Times New Roman" w:cs="Times New Roman"/>
      <w:kern w:val="3"/>
      <w:sz w:val="24"/>
      <w:szCs w:val="24"/>
    </w:rPr>
  </w:style>
  <w:style w:type="character" w:customStyle="1" w:styleId="a1">
    <w:name w:val="註解文字 字元"/>
    <w:uiPriority w:val="99"/>
    <w:rsid w:val="00FE7A70"/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E7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10B2B"/>
    <w:rPr>
      <w:b/>
      <w:bCs/>
    </w:rPr>
  </w:style>
  <w:style w:type="character" w:customStyle="1" w:styleId="a2">
    <w:name w:val="註解主旨 字元"/>
    <w:uiPriority w:val="99"/>
    <w:rsid w:val="00FE7A70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rsid w:val="00FE7A70"/>
    <w:pPr>
      <w:suppressAutoHyphens/>
    </w:pPr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0B2B"/>
    <w:rPr>
      <w:rFonts w:ascii="Cambria" w:eastAsia="新細明體" w:hAnsi="Cambria" w:cs="Times New Roman"/>
      <w:kern w:val="3"/>
      <w:sz w:val="2"/>
    </w:rPr>
  </w:style>
  <w:style w:type="character" w:customStyle="1" w:styleId="a3">
    <w:name w:val="註解方塊文字 字元"/>
    <w:uiPriority w:val="99"/>
    <w:rsid w:val="00FE7A70"/>
    <w:rPr>
      <w:rFonts w:ascii="Calibri Light" w:hAnsi="Calibri Light"/>
      <w:sz w:val="18"/>
    </w:rPr>
  </w:style>
  <w:style w:type="paragraph" w:customStyle="1" w:styleId="-11">
    <w:name w:val="彩色清單 - 輔色 11"/>
    <w:basedOn w:val="Normal"/>
    <w:uiPriority w:val="99"/>
    <w:rsid w:val="00FE7A70"/>
    <w:pPr>
      <w:suppressAutoHyphens/>
      <w:ind w:left="480"/>
    </w:pPr>
    <w:rPr>
      <w:rFonts w:ascii="Calibri" w:hAnsi="Calibri"/>
      <w:szCs w:val="22"/>
    </w:rPr>
  </w:style>
  <w:style w:type="paragraph" w:styleId="NormalWeb">
    <w:name w:val="Normal (Web)"/>
    <w:basedOn w:val="Normal"/>
    <w:uiPriority w:val="99"/>
    <w:rsid w:val="00FE7A70"/>
    <w:pPr>
      <w:suppressAutoHyphens/>
      <w:spacing w:before="100" w:after="100"/>
    </w:pPr>
    <w:rPr>
      <w:rFonts w:ascii="PMingLiU" w:eastAsia="標楷體" w:hAnsi="PMingLiU"/>
      <w:kern w:val="0"/>
    </w:rPr>
  </w:style>
  <w:style w:type="paragraph" w:customStyle="1" w:styleId="TableParagraph">
    <w:name w:val="Table Paragraph"/>
    <w:basedOn w:val="Normal"/>
    <w:uiPriority w:val="99"/>
    <w:rsid w:val="00FE7A70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character" w:styleId="Hyperlink">
    <w:name w:val="Hyperlink"/>
    <w:basedOn w:val="DefaultParagraphFont"/>
    <w:uiPriority w:val="99"/>
    <w:rsid w:val="00FE7A70"/>
    <w:rPr>
      <w:rFonts w:cs="Times New Roman"/>
      <w:color w:val="156F82"/>
      <w:u w:val="none"/>
    </w:rPr>
  </w:style>
  <w:style w:type="character" w:customStyle="1" w:styleId="a4">
    <w:name w:val="清單段落 字元"/>
    <w:uiPriority w:val="99"/>
    <w:rsid w:val="00FE7A70"/>
    <w:rPr>
      <w:rFonts w:ascii="Times New Roman" w:hAnsi="Times New Roman"/>
      <w:kern w:val="3"/>
      <w:sz w:val="24"/>
    </w:rPr>
  </w:style>
  <w:style w:type="paragraph" w:styleId="BodyText">
    <w:name w:val="Body Text"/>
    <w:basedOn w:val="Normal"/>
    <w:link w:val="BodyTextChar"/>
    <w:uiPriority w:val="99"/>
    <w:rsid w:val="00FE7A70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10B2B"/>
    <w:rPr>
      <w:rFonts w:ascii="Times New Roman" w:hAnsi="Times New Roman" w:cs="Times New Roman"/>
      <w:kern w:val="3"/>
      <w:sz w:val="24"/>
      <w:szCs w:val="24"/>
    </w:rPr>
  </w:style>
  <w:style w:type="character" w:customStyle="1" w:styleId="a5">
    <w:name w:val="本文 字元"/>
    <w:uiPriority w:val="99"/>
    <w:rsid w:val="00FE7A70"/>
    <w:rPr>
      <w:rFonts w:ascii="細明體" w:eastAsia="細明體" w:hAnsi="細明體"/>
      <w:sz w:val="28"/>
      <w:lang w:val="zh-TW"/>
    </w:rPr>
  </w:style>
  <w:style w:type="table" w:styleId="TableGrid">
    <w:name w:val="Table Grid"/>
    <w:basedOn w:val="TableNormal"/>
    <w:uiPriority w:val="99"/>
    <w:rsid w:val="00FE7A7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E7A70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paragraph" w:customStyle="1" w:styleId="Default">
    <w:name w:val="Default"/>
    <w:uiPriority w:val="99"/>
    <w:rsid w:val="00FE7A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Strong">
    <w:name w:val="Strong"/>
    <w:basedOn w:val="DefaultParagraphFont"/>
    <w:uiPriority w:val="99"/>
    <w:qFormat/>
    <w:rsid w:val="00FE7A70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828</Words>
  <Characters>4720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高雄市左營區屏山國小 六 年級第 2 學期【自然與生活科技領域】課程計畫(九年一貫)</dc:title>
  <dc:subject/>
  <dc:creator>lisa wang</dc:creator>
  <cp:keywords/>
  <dc:description/>
  <cp:lastModifiedBy>user</cp:lastModifiedBy>
  <cp:revision>2</cp:revision>
  <cp:lastPrinted>2021-10-04T02:40:00Z</cp:lastPrinted>
  <dcterms:created xsi:type="dcterms:W3CDTF">2022-06-09T04:30:00Z</dcterms:created>
  <dcterms:modified xsi:type="dcterms:W3CDTF">2022-06-09T04:30:00Z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153409507675498ea5e270567d1a2613</vt:lpwstr>
  </property>
</Properties>
</file>