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CE" w:rsidRPr="00C61E72" w:rsidRDefault="003E0ECE" w:rsidP="003E0ECE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7239D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7239D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17239D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3E0ECE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部定課程【綜合活動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E2120C" w:rsidRPr="00E2120C" w:rsidTr="00355EBD">
        <w:trPr>
          <w:trHeight w:val="64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00593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E2120C">
              <w:rPr>
                <w:rFonts w:ascii="標楷體" w:eastAsia="標楷體" w:hAnsi="標楷體" w:cs="Times New Roman" w:hint="eastAsia"/>
                <w:kern w:val="3"/>
                <w:szCs w:val="24"/>
              </w:rPr>
              <w:t>劃及線上教學規劃</w:t>
            </w:r>
          </w:p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E2120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E2120C" w:rsidRPr="00E2120C" w:rsidTr="00382BA9">
        <w:trPr>
          <w:trHeight w:val="78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937" w:rsidRPr="00E2120C" w:rsidRDefault="00005937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120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2120C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生活大發現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Bc-II-1 各類資源的認識與彙整。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Bc-II-2 個人日常生活問題所需的資源。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課綱:綜合-資訊-(資E2,E8)-2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生活大發現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多彩多「資」的生活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Bc-II-1 各類資源的認識與彙整。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Bc-II-2 個人日常生活問題所需的資源。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課綱:綜合-資訊-(資E2,E8)-2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多彩多「資」的生活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Bc-II-1 各類資源的認識與彙整。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Bc-II-2 個人日常生活問題所需的資源。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課綱:綜合-資訊-(資E2,E8)-2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資源萬事通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Bc-II-1 各類資源的認識與彙整。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Bc-II-2 個人日常生活問題所需的資源。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課綱:綜合-資訊-(資E2,E8)-2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4109E1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4109E1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主題一</w:t>
            </w:r>
          </w:p>
          <w:p w:rsidR="004109E1" w:rsidRPr="00E2120C" w:rsidRDefault="004109E1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生活小達人</w:t>
            </w:r>
          </w:p>
          <w:p w:rsidR="00575051" w:rsidRDefault="004109E1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4109E1" w:rsidRPr="00E2120C" w:rsidRDefault="004109E1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資源萬事通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Bc-II-1 各類資源的認識與彙整。</w:t>
            </w:r>
          </w:p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Bc-II-2 個人日常生活問題所需的資源。</w:t>
            </w:r>
          </w:p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課綱:綜合-資訊-(資E2,E8)-2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E1" w:rsidRPr="00E2120C" w:rsidRDefault="004109E1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E1" w:rsidRPr="00E2120C" w:rsidRDefault="004109E1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將分組討論結果上傳c</w:t>
            </w:r>
            <w:r w:rsidRPr="00E2120C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E2120C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工作大探索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工作大發現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3E0ECE" w:rsidRPr="00E2120C" w:rsidRDefault="00005937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3E0ECE" w:rsidRPr="00E2120C" w:rsidRDefault="00005937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005937" w:rsidRPr="00E2120C" w:rsidRDefault="00005937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Default="0000593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  <w:p w:rsidR="00BF1DA3" w:rsidRPr="00E2120C" w:rsidRDefault="00BF1DA3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課綱：戶外-(戶E2,E3)-5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trHeight w:val="172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工作大探索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工作大發現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Default="0000593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  <w:p w:rsidR="00B0747A" w:rsidRPr="00E2120C" w:rsidRDefault="00B0747A">
            <w:r w:rsidRPr="00B0747A"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課綱：綜合-戶外-(戶E3)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trHeight w:val="170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工作大探索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工作放大鏡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4109E1" w:rsidRPr="00E2120C" w:rsidTr="00575051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4109E1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4109E1" w:rsidRPr="00E2120C" w:rsidRDefault="004109E1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工作大探索</w:t>
            </w:r>
          </w:p>
          <w:p w:rsidR="00575051" w:rsidRDefault="004109E1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4109E1" w:rsidRPr="00E2120C" w:rsidRDefault="004109E1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工作放大鏡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E1" w:rsidRPr="00E2120C" w:rsidRDefault="004109E1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E1" w:rsidRPr="00E2120C" w:rsidRDefault="004109E1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將分組討論結果上傳c</w:t>
            </w:r>
            <w:r w:rsidRPr="00E2120C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E2120C" w:rsidRPr="00E2120C" w:rsidTr="00575051">
        <w:trPr>
          <w:trHeight w:val="168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工作大探索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感謝有你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課綱:綜合-人權-(人E4,E5)-2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溝通心訣竅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溝通停看聽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法定:綜合-家庭-(家E4)-2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4109E1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4109E1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4109E1" w:rsidRPr="00E2120C" w:rsidRDefault="004109E1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溝通心訣竅</w:t>
            </w:r>
          </w:p>
          <w:p w:rsidR="00575051" w:rsidRDefault="004109E1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4109E1" w:rsidRPr="00E2120C" w:rsidRDefault="004109E1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溝通停看聽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法定:綜合-家庭-(家E4)-2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E1" w:rsidRPr="00E2120C" w:rsidRDefault="004109E1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E1" w:rsidRPr="00E2120C" w:rsidRDefault="004109E1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將分組討論結果上傳c</w:t>
            </w:r>
            <w:r w:rsidRPr="00E2120C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E2120C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溝通心訣竅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用別人的眼睛看世界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法定:綜合-家庭-(家E3,E4,E5)-2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溝通心訣竅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心靈捕手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法定:綜合-家庭-(家E4)-2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主題三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溝通心訣竅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單元三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心靈捕手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紀錄單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法定:綜合-家庭-(家E4)-2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4109E1" w:rsidRPr="00E2120C" w:rsidTr="00575051">
        <w:trPr>
          <w:trHeight w:val="211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4109E1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4109E1" w:rsidRPr="00E2120C" w:rsidRDefault="004109E1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美好生活家</w:t>
            </w:r>
          </w:p>
          <w:p w:rsidR="00575051" w:rsidRDefault="004109E1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4109E1" w:rsidRPr="00E2120C" w:rsidRDefault="004109E1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舒適衣著怎麼穿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4109E1" w:rsidRPr="00E2120C" w:rsidRDefault="004109E1" w:rsidP="004109E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4109E1" w:rsidRPr="00E2120C" w:rsidRDefault="004109E1" w:rsidP="004109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E1" w:rsidRPr="00E2120C" w:rsidRDefault="004109E1" w:rsidP="004109E1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E1" w:rsidRPr="00E2120C" w:rsidRDefault="004109E1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E1" w:rsidRPr="00E2120C" w:rsidRDefault="004109E1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將分組討論結果上傳c</w:t>
            </w:r>
            <w:r w:rsidRPr="00E2120C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E2120C" w:rsidRPr="00E2120C" w:rsidTr="00575051">
        <w:trPr>
          <w:trHeight w:val="196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美好生活家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舒適衣著怎麼穿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trHeight w:val="226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美好生活家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單元一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舒適衣著怎麼穿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美味午餐怎麼吃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2120C" w:rsidRPr="00E2120C" w:rsidTr="00575051">
        <w:trPr>
          <w:trHeight w:val="225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B7C" w:rsidRPr="00E2120C" w:rsidRDefault="001C5B7C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1C5B7C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1C5B7C" w:rsidRPr="00E2120C" w:rsidRDefault="001C5B7C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美好生活家</w:t>
            </w:r>
          </w:p>
          <w:p w:rsidR="00575051" w:rsidRDefault="001C5B7C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1C5B7C" w:rsidRPr="00E2120C" w:rsidRDefault="001C5B7C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美味午餐怎麼吃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B7C" w:rsidRPr="00E2120C" w:rsidRDefault="001C5B7C" w:rsidP="00EC0976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B7C" w:rsidRPr="00E2120C" w:rsidRDefault="001C5B7C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1C5B7C" w:rsidRPr="00E2120C" w:rsidRDefault="001C5B7C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:rsidR="001C5B7C" w:rsidRPr="00E2120C" w:rsidRDefault="001C5B7C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B7C" w:rsidRPr="00E2120C" w:rsidRDefault="001C5B7C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1C5B7C" w:rsidRPr="00E2120C" w:rsidRDefault="001C5B7C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1C5B7C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B7C" w:rsidRPr="00E2120C" w:rsidRDefault="001C5B7C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7C" w:rsidRPr="00E2120C" w:rsidRDefault="001C5B7C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7C" w:rsidRPr="00E2120C" w:rsidRDefault="003E0ECE" w:rsidP="004109E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將分組討論結果上傳c</w:t>
            </w:r>
            <w:r w:rsidRPr="00E2120C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lassroom</w:t>
            </w:r>
            <w:r w:rsidRPr="00E2120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分享</w:t>
            </w:r>
          </w:p>
        </w:tc>
      </w:tr>
      <w:tr w:rsidR="00E2120C" w:rsidRPr="00E2120C" w:rsidTr="00575051">
        <w:trPr>
          <w:trHeight w:val="201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33255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主題四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美好生活家</w:t>
            </w:r>
          </w:p>
          <w:p w:rsidR="00575051" w:rsidRDefault="00005937" w:rsidP="0057505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單元二</w:t>
            </w:r>
          </w:p>
          <w:p w:rsidR="00005937" w:rsidRPr="00E2120C" w:rsidRDefault="00005937" w:rsidP="00575051">
            <w:pPr>
              <w:spacing w:line="260" w:lineRule="exac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美味午餐怎麼吃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 w:rsidP="00EC0976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005937" w:rsidRPr="00E2120C" w:rsidRDefault="00005937" w:rsidP="00EC097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口語問答</w:t>
            </w:r>
          </w:p>
          <w:p w:rsidR="003E0ECE" w:rsidRPr="00E2120C" w:rsidRDefault="003E0ECE" w:rsidP="003E0EC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學習態度檢核</w:t>
            </w:r>
          </w:p>
          <w:p w:rsidR="00005937" w:rsidRPr="00E2120C" w:rsidRDefault="003E0ECE" w:rsidP="003E0EC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2120C">
              <w:rPr>
                <w:rFonts w:ascii="標楷體" w:eastAsia="標楷體" w:hAnsi="標楷體" w:hint="eastAsia"/>
                <w:sz w:val="20"/>
                <w:szCs w:val="20"/>
              </w:rPr>
              <w:t>實踐表現檢核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937" w:rsidRPr="00E2120C" w:rsidRDefault="00005937">
            <w:r w:rsidRPr="00E2120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課綱:綜合-生命-(生E6)-2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37" w:rsidRPr="00E2120C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37" w:rsidRPr="00E2120C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(例：法定/課綱：領域-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議題-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(議題實質內涵代碼)-時數)。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（一）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法定議題：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依每學年度核定函辦理。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831D0B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831D0B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A3C" w:rsidRDefault="00456A3C" w:rsidP="001A1EF6">
      <w:r>
        <w:separator/>
      </w:r>
    </w:p>
  </w:endnote>
  <w:endnote w:type="continuationSeparator" w:id="0">
    <w:p w:rsidR="00456A3C" w:rsidRDefault="00456A3C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A3C" w:rsidRDefault="00456A3C" w:rsidP="001A1EF6">
      <w:r>
        <w:separator/>
      </w:r>
    </w:p>
  </w:footnote>
  <w:footnote w:type="continuationSeparator" w:id="0">
    <w:p w:rsidR="00456A3C" w:rsidRDefault="00456A3C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05937"/>
    <w:rsid w:val="00142C53"/>
    <w:rsid w:val="0017239D"/>
    <w:rsid w:val="001A1EF6"/>
    <w:rsid w:val="001C5B7C"/>
    <w:rsid w:val="003E0ECE"/>
    <w:rsid w:val="00407FBF"/>
    <w:rsid w:val="004109E1"/>
    <w:rsid w:val="004234DB"/>
    <w:rsid w:val="00456A3C"/>
    <w:rsid w:val="00575051"/>
    <w:rsid w:val="006A6590"/>
    <w:rsid w:val="007F527B"/>
    <w:rsid w:val="00826B6E"/>
    <w:rsid w:val="009B481C"/>
    <w:rsid w:val="00B0747A"/>
    <w:rsid w:val="00B35C09"/>
    <w:rsid w:val="00B5585E"/>
    <w:rsid w:val="00BC0ABC"/>
    <w:rsid w:val="00BF1DA3"/>
    <w:rsid w:val="00D66013"/>
    <w:rsid w:val="00E2120C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4FAE15"/>
  <w15:docId w15:val="{84C5C1E7-6AB7-422F-B5F4-07FDF0A6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Windows 使用者</cp:lastModifiedBy>
  <cp:revision>9</cp:revision>
  <dcterms:created xsi:type="dcterms:W3CDTF">2022-05-31T00:27:00Z</dcterms:created>
  <dcterms:modified xsi:type="dcterms:W3CDTF">2022-06-02T07:50:00Z</dcterms:modified>
</cp:coreProperties>
</file>