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A" w:rsidRPr="000924DA" w:rsidRDefault="000924DA" w:rsidP="000924D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924DA"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高雄市左營區屏山國民小學111學年度3年級第2學期校訂課程</w:t>
      </w:r>
    </w:p>
    <w:p w:rsidR="000924DA" w:rsidRDefault="000924DA" w:rsidP="000924DA">
      <w:pPr>
        <w:widowControl/>
        <w:snapToGrid w:val="0"/>
        <w:spacing w:line="420" w:lineRule="exact"/>
        <w:jc w:val="center"/>
        <w:rPr>
          <w:rFonts w:eastAsia="標楷體" w:hint="eastAsia"/>
          <w:color w:val="000000" w:themeColor="text1"/>
          <w:szCs w:val="26"/>
        </w:rPr>
      </w:pPr>
      <w:r w:rsidRPr="000924DA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hAnsi="標楷體" w:hint="eastAsia"/>
          <w:b/>
          <w:sz w:val="26"/>
          <w:szCs w:val="26"/>
        </w:rPr>
        <w:t>半屏山下的孩子</w:t>
      </w:r>
      <w:r w:rsidRPr="000924DA">
        <w:rPr>
          <w:rFonts w:ascii="標楷體" w:eastAsia="標楷體" w:hAnsi="標楷體" w:hint="eastAsia"/>
          <w:b/>
          <w:sz w:val="28"/>
          <w:szCs w:val="28"/>
        </w:rPr>
        <w:t>》教案</w:t>
      </w:r>
    </w:p>
    <w:p w:rsidR="00A1104B" w:rsidRDefault="00A1104B" w:rsidP="00D125D1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color w:val="000000"/>
                <w:kern w:val="0"/>
                <w:sz w:val="20"/>
                <w:szCs w:val="20"/>
              </w:rPr>
              <w:t>2a-II-1</w:t>
            </w:r>
            <w:r w:rsidR="00222955" w:rsidRPr="00DB5FFC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覺察自己的人際溝通方式，展現合宜的互動與溝通態度和技巧。</w:t>
            </w:r>
          </w:p>
          <w:p w:rsidR="00390754" w:rsidRDefault="00390754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2b-II-2</w:t>
            </w:r>
            <w:r w:rsidRPr="00390754">
              <w:rPr>
                <w:rFonts w:asciiTheme="minorEastAsia" w:hAnsiTheme="minorEastAsia" w:hint="eastAsia"/>
                <w:sz w:val="20"/>
                <w:szCs w:val="20"/>
              </w:rPr>
              <w:t>參加團體活動，遵守紀律、重視榮譽感，並展現負責的態度。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 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0"/>
              </w:rPr>
              <w:t>Ba-II-1</w:t>
            </w:r>
            <w:r w:rsidRPr="00F71F9F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自我表達的適切性。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Ba-II-3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人際溝通的態度與技巧。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Bb-II-3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團體活動的參與態度。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DB214B">
        <w:trPr>
          <w:trHeight w:val="199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CB6" w:rsidRPr="00276F74" w:rsidRDefault="008043AD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1</w:t>
            </w:r>
            <w:r w:rsidR="007F3E99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B61CB6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小朋友，我們在半屏山上看到自來水廠、菱角田與洲仔濕地，了解到在過往學校附近有許多水塘。你知道早期的居民，如何運用這些水塘來生活嗎？這些水塘對環境有什麼樣的影響呢？</w:t>
            </w:r>
          </w:p>
          <w:p w:rsidR="007F3E99" w:rsidRPr="00265682" w:rsidRDefault="00DB214B" w:rsidP="00F85323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2</w:t>
            </w:r>
            <w:r w:rsidR="00265682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265682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想像一下今天要向隔壁鄰居介紹屏山，你要如何將屏山之美讓他了解呢？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DB214B">
        <w:trPr>
          <w:trHeight w:val="261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環 E1 參與戶外學習與自然體驗，覺知自然環境的美、平衡、與完整性。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了解人與自然和諧共生，進而保護重要棲地。</w:t>
            </w:r>
          </w:p>
          <w:p w:rsidR="00DB214B" w:rsidRDefault="00DB214B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  <w:p w:rsidR="00D16C71" w:rsidRPr="00D16C71" w:rsidRDefault="00197FDE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戶 E7 參加學校校外教學活動，認識地方環境，如生態、環保、地質、文化</w:t>
            </w:r>
          </w:p>
          <w:p w:rsidR="00AF3C7E" w:rsidRPr="00D16C71" w:rsidRDefault="00D16C71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20"/>
              </w:rPr>
              <w:t>等的戶外學習。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活動三、小小環境調查員：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E1、環 E3、戶 E7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5EE0" w:rsidRDefault="004B5EE0" w:rsidP="004B5EE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10" w:history="1">
              <w:r w:rsidRPr="004B5EE0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D40081" w:rsidRPr="00D40081" w:rsidRDefault="00D40081" w:rsidP="00D400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1" w:history="1">
              <w:r w:rsidRPr="00D40081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P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地球之腎：</w:t>
            </w:r>
          </w:p>
          <w:p w:rsidR="00D40081" w:rsidRPr="004B5EE0" w:rsidRDefault="006E42A5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hyperlink r:id="rId12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4B5EE0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3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4B5EE0" w:rsidRDefault="00D40081" w:rsidP="00D40081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  <w:gridCol w:w="696"/>
        <w:gridCol w:w="696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567BDE" w:rsidRPr="00101F50" w:rsidTr="00B61CB6">
        <w:trPr>
          <w:trHeight w:val="5206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C942D5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="00C942D5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540242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小小環境調查員</w:t>
            </w:r>
            <w:r w:rsidR="00C942D5" w:rsidRPr="00C942D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 xml:space="preserve"> </w:t>
            </w:r>
          </w:p>
          <w:p w:rsidR="00567BDE" w:rsidRPr="00B61CB6" w:rsidRDefault="00567BDE" w:rsidP="00C942D5">
            <w:pPr>
              <w:widowControl/>
              <w:ind w:leftChars="65" w:left="1432" w:hangingChars="638" w:hanging="1276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在半屏山上看到自來水廠、菱角田與洲仔濕地，了解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到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在過往學校附近有許多水塘。你知道早期的居民，如何運用這些水塘來生活嗎？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這些水塘對環境有什麼樣的影響呢？</w:t>
            </w:r>
          </w:p>
          <w:p w:rsidR="00567BDE" w:rsidRPr="007B7B8A" w:rsidRDefault="006A69F8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3-1地球之腎</w:t>
            </w:r>
            <w:r w:rsidR="00567BD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  <w:p w:rsidR="004B5EE0" w:rsidRDefault="00567BDE" w:rsidP="004B5EE0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社區對濕地的利用。(1)</w:t>
            </w:r>
          </w:p>
          <w:p w:rsidR="00567BDE" w:rsidRDefault="004B5EE0" w:rsidP="004B5EE0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14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567BDE" w:rsidRDefault="00567BDE" w:rsidP="00AF0B5F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濕地對環境的重要性。(2)</w:t>
            </w:r>
          </w:p>
          <w:p w:rsidR="004B5EE0" w:rsidRDefault="004B5EE0" w:rsidP="004B5EE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5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Default="004B5EE0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地球之腎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4B5EE0" w:rsidRDefault="006E42A5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hyperlink r:id="rId16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7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D40081" w:rsidRDefault="00D40081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</w:p>
          <w:p w:rsidR="00B61CB6" w:rsidRPr="00B61CB6" w:rsidRDefault="00B61CB6" w:rsidP="00C942D5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學校裡，有一套系統是模仿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地建造出來的喔！猜猜看，是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什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麼呢？你了解系統是怎麼樣運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的嗎？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為什麼要讓魚跟菜要一起生活呢？</w:t>
            </w:r>
          </w:p>
          <w:p w:rsidR="00D40081" w:rsidRDefault="00567BDE" w:rsidP="00AF0B5F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3-2校園裡的濕地</w:t>
            </w:r>
            <w:r w:rsidR="006A69F8">
              <w:rPr>
                <w:rFonts w:asciiTheme="minorEastAsia" w:hAnsiTheme="minorEastAsia" w:hint="eastAsia"/>
                <w:b/>
                <w:sz w:val="20"/>
                <w:szCs w:val="20"/>
              </w:rPr>
              <w:t>-魚菜共生</w:t>
            </w:r>
            <w:r w:rsidR="00AF0B5F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  <w:p w:rsidR="00485CF2" w:rsidRDefault="00567BDE" w:rsidP="00D40081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觀察並了解魚菜共生系統(2)</w:t>
            </w:r>
          </w:p>
          <w:p w:rsidR="008E4867" w:rsidRPr="008E4867" w:rsidRDefault="008E4867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嘗試設計一組簡易的</w:t>
            </w:r>
            <w:r w:rsidR="00D40081">
              <w:rPr>
                <w:rFonts w:asciiTheme="minorEastAsia" w:hAnsiTheme="minorEastAsia" w:hint="eastAsia"/>
                <w:sz w:val="20"/>
                <w:szCs w:val="20"/>
              </w:rPr>
              <w:t>魚菜共生系統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，並畫成設計圖。</w:t>
            </w:r>
          </w:p>
          <w:p w:rsidR="00485CF2" w:rsidRDefault="00485CF2" w:rsidP="00C942D5">
            <w:pPr>
              <w:widowControl/>
              <w:spacing w:beforeLines="50" w:before="180"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學校附近，就有一處濕地喔！猜猜看，溼地裡我們一定會看到些什麼？實地去走一走，印證一下吧！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3-3前進洲仔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實地走訪洲仔溼地。(4)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認識常見的植物與動物(五種)。</w:t>
            </w:r>
          </w:p>
          <w:p w:rsidR="00567BDE" w:rsidRPr="00C942D5" w:rsidRDefault="00567BDE" w:rsidP="00CD3BB4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洲仔濕地的一天(寫作)(2)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活動四</w:t>
            </w:r>
            <w:r w:rsidR="00C942D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我來話畫屏山</w:t>
            </w:r>
          </w:p>
          <w:p w:rsidR="00567BDE" w:rsidRPr="007B7B8A" w:rsidRDefault="00567BDE" w:rsidP="00C942D5">
            <w:pPr>
              <w:widowControl/>
              <w:ind w:left="1293" w:hangingChars="646" w:hanging="1293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485CF2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經過一年對屏山深入的探究與了解</w:t>
            </w:r>
            <w:r w:rsid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，你覺得屏山有哪些美好之處可以向人介紹呢？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4-1我來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畫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利用上學期完成的自己完成的學習單，與小組成員一同討論「屏山」具有那些值得向別人推薦的亮點。(人、事、地、物</w:t>
            </w:r>
            <w:r>
              <w:rPr>
                <w:rFonts w:asciiTheme="minorEastAsia" w:hAnsiTheme="minorEastAsia"/>
                <w:sz w:val="20"/>
                <w:szCs w:val="20"/>
              </w:rPr>
              <w:t>……)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小組一同繪製「屏山之美」地圖草圖。(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以圖說方式呈現)</w:t>
            </w:r>
          </w:p>
          <w:p w:rsidR="00265682" w:rsidRPr="00C942D5" w:rsidRDefault="00B1671B" w:rsidP="003D01EC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分組完成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的地圖海報。</w:t>
            </w:r>
          </w:p>
          <w:p w:rsidR="00265682" w:rsidRPr="007B7B8A" w:rsidRDefault="00265682" w:rsidP="00C942D5">
            <w:pPr>
              <w:pStyle w:val="a3"/>
              <w:widowControl/>
              <w:spacing w:beforeLines="50" w:before="180"/>
              <w:ind w:leftChars="67" w:left="1293" w:hangingChars="566" w:hanging="113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想像一下今天要向隔壁鄰居介紹屏山，你要如何將屏山之美讓他了解呢</w:t>
            </w: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B61CB6" w:rsidRDefault="00567BDE" w:rsidP="00A16761">
            <w:pPr>
              <w:widowControl/>
              <w:ind w:left="2100" w:hangingChars="1050" w:hanging="21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4-2我來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話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="00A1676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61CB6" w:rsidRDefault="00B61CB6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小組練習利用分工報告「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  <w:p w:rsidR="00567BDE" w:rsidRDefault="00567BDE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分組上台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>
              <w:rPr>
                <w:rFonts w:asciiTheme="minorEastAsia" w:hAnsiTheme="minorEastAsia"/>
                <w:sz w:val="20"/>
                <w:szCs w:val="20"/>
              </w:rPr>
              <w:softHyphen/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地圖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海報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AF0B5F" w:rsidRPr="007B7B8A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走讀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屏山社區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發現的屏山之美。</w:t>
            </w:r>
          </w:p>
          <w:p w:rsidR="00B1671B" w:rsidRDefault="00B1671B" w:rsidP="00C942D5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="00C942D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B1671B" w:rsidRDefault="00B1671B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經過一年期間對屏山社區的探究，相信你已經可以向你的鄰居好好的介紹屏山，讓他 清楚了解屏山國小是一所具備「真、善、美」的優質小學喔！</w:t>
            </w:r>
          </w:p>
          <w:p w:rsidR="00C942D5" w:rsidRDefault="00C942D5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B61CB6" w:rsidRDefault="00567BDE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  <w:p w:rsidR="00C942D5" w:rsidRDefault="00C942D5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5CF2" w:rsidRDefault="00485CF2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D40081" w:rsidRDefault="00D40081" w:rsidP="00D40081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  <w:r w:rsidR="008313DF"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：</w:t>
            </w:r>
          </w:p>
          <w:p w:rsidR="00EC3589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魚菜共生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設計圖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3F3F71" w:rsidRDefault="003F3F7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學習單</w:t>
            </w:r>
            <w:r w:rsidR="008313DF">
              <w:rPr>
                <w:rFonts w:eastAsia="標楷體" w:hint="eastAsia"/>
                <w:noProof/>
                <w:szCs w:val="22"/>
              </w:rPr>
              <w:t>4</w:t>
            </w:r>
            <w:r>
              <w:rPr>
                <w:rFonts w:eastAsia="標楷體" w:hint="eastAsia"/>
                <w:noProof/>
                <w:szCs w:val="22"/>
              </w:rPr>
              <w:t>：</w:t>
            </w: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洲仔的一天</w:t>
            </w:r>
            <w:r w:rsidR="00D85530">
              <w:rPr>
                <w:rFonts w:eastAsia="標楷體" w:hint="eastAsia"/>
                <w:noProof/>
                <w:szCs w:val="22"/>
              </w:rPr>
              <w:t>速記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A</w:t>
            </w:r>
            <w:r>
              <w:rPr>
                <w:rFonts w:eastAsia="標楷體"/>
                <w:noProof/>
                <w:szCs w:val="22"/>
              </w:rPr>
              <w:t>3</w:t>
            </w:r>
            <w:r>
              <w:rPr>
                <w:rFonts w:eastAsia="標楷體" w:hint="eastAsia"/>
                <w:noProof/>
                <w:szCs w:val="22"/>
              </w:rPr>
              <w:t>影印紙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草圖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全開壁報紙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海報作品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Pr="00FD79D8" w:rsidRDefault="00D40081" w:rsidP="00FD79D8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4031DF" w:rsidRPr="006A3CEF" w:rsidTr="001C3F1F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800A6D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透過探究歸納出</w:t>
            </w:r>
            <w:r w:rsidRPr="00265682">
              <w:rPr>
                <w:rFonts w:eastAsia="標楷體" w:hint="eastAsia"/>
                <w:b/>
                <w:noProof/>
              </w:rPr>
              <w:t>屏山國小與</w:t>
            </w:r>
            <w:r>
              <w:rPr>
                <w:rFonts w:eastAsia="標楷體" w:hint="eastAsia"/>
                <w:b/>
                <w:noProof/>
              </w:rPr>
              <w:t>社</w:t>
            </w:r>
            <w:r w:rsidRPr="00265682">
              <w:rPr>
                <w:rFonts w:eastAsia="標楷體" w:hint="eastAsia"/>
                <w:b/>
                <w:noProof/>
              </w:rPr>
              <w:t>區的特色及美好</w:t>
            </w:r>
            <w:r w:rsidR="00D00FF5">
              <w:rPr>
                <w:rFonts w:eastAsia="標楷體" w:hint="eastAsia"/>
                <w:b/>
                <w:noProof/>
              </w:rPr>
              <w:t>，並以屏山之美</w:t>
            </w:r>
            <w:r w:rsidR="00800A6D">
              <w:rPr>
                <w:rFonts w:eastAsia="標楷體" w:hint="eastAsia"/>
                <w:b/>
                <w:noProof/>
              </w:rPr>
              <w:t>地圖</w:t>
            </w:r>
            <w:r w:rsidR="00D00FF5">
              <w:rPr>
                <w:rFonts w:eastAsia="標楷體" w:hint="eastAsia"/>
                <w:b/>
                <w:noProof/>
              </w:rPr>
              <w:t>海報呈現。</w:t>
            </w:r>
          </w:p>
        </w:tc>
      </w:tr>
      <w:tr w:rsidR="004031DF" w:rsidRPr="006A3CEF" w:rsidTr="001C3F1F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1C3F1F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1C3F1F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C3F1F" w:rsidRPr="006A3CEF" w:rsidTr="00F36F2A">
        <w:trPr>
          <w:trHeight w:val="992"/>
        </w:trPr>
        <w:tc>
          <w:tcPr>
            <w:tcW w:w="937" w:type="dxa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C3F1F" w:rsidRPr="006A3CEF" w:rsidTr="001C3F1F">
        <w:trPr>
          <w:trHeight w:val="2437"/>
        </w:trPr>
        <w:tc>
          <w:tcPr>
            <w:tcW w:w="937" w:type="dxa"/>
            <w:vAlign w:val="center"/>
          </w:tcPr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1C3F1F" w:rsidRPr="002D1535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能提出相對位置皆正確且具正確標示與圖說的屏山之美地圖，並能大方而清晰流暢的進行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3" w:type="dxa"/>
            <w:vAlign w:val="center"/>
          </w:tcPr>
          <w:p w:rsidR="001C3F1F" w:rsidRPr="00260128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流暢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1C3F1F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391D16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提出簡單繪製的屏山之美地圖並在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vAlign w:val="center"/>
          </w:tcPr>
          <w:p w:rsidR="001C3F1F" w:rsidRPr="00392A76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1C3F1F" w:rsidRPr="002144C3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2012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vAlign w:val="center"/>
          </w:tcPr>
          <w:p w:rsidR="00391D16" w:rsidRPr="001C3F1F" w:rsidRDefault="00391D16" w:rsidP="00391D1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391D16" w:rsidRPr="002144C3" w:rsidRDefault="00391D16" w:rsidP="00391D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1754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91D16" w:rsidRPr="00E94E6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391D16" w:rsidRPr="006A3CEF" w:rsidTr="004149F6">
        <w:trPr>
          <w:trHeight w:val="1372"/>
        </w:trPr>
        <w:tc>
          <w:tcPr>
            <w:tcW w:w="1573" w:type="dxa"/>
            <w:gridSpan w:val="2"/>
            <w:vAlign w:val="center"/>
          </w:tcPr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A5" w:rsidRDefault="006E42A5" w:rsidP="00197879">
      <w:r>
        <w:separator/>
      </w:r>
    </w:p>
  </w:endnote>
  <w:endnote w:type="continuationSeparator" w:id="0">
    <w:p w:rsidR="006E42A5" w:rsidRDefault="006E42A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A5" w:rsidRDefault="006E42A5" w:rsidP="00197879">
      <w:r>
        <w:separator/>
      </w:r>
    </w:p>
  </w:footnote>
  <w:footnote w:type="continuationSeparator" w:id="0">
    <w:p w:rsidR="006E42A5" w:rsidRDefault="006E42A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24DA"/>
    <w:rsid w:val="00097EC3"/>
    <w:rsid w:val="000A1141"/>
    <w:rsid w:val="000A1E10"/>
    <w:rsid w:val="000A2EEA"/>
    <w:rsid w:val="000B63C8"/>
    <w:rsid w:val="000C338C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25EB5"/>
    <w:rsid w:val="0013256C"/>
    <w:rsid w:val="001437BC"/>
    <w:rsid w:val="001467AA"/>
    <w:rsid w:val="00155979"/>
    <w:rsid w:val="00156792"/>
    <w:rsid w:val="001611EE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BB5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91D16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3F3F71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B0A86"/>
    <w:rsid w:val="004B102F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5841"/>
    <w:rsid w:val="0059198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12CE"/>
    <w:rsid w:val="0066246E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2A5"/>
    <w:rsid w:val="006E4D67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0A6D"/>
    <w:rsid w:val="00801110"/>
    <w:rsid w:val="008043AD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3680"/>
    <w:rsid w:val="00A504D2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151E"/>
    <w:rsid w:val="00B027B9"/>
    <w:rsid w:val="00B0359C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85834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B214B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AEF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tland.e-info.org.tw/quiz/what-is-wetlan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tsfun.com.tw/%E5%9C%B0%E7%90%83%E4%B9%8B%E8%82%BE/wiki-0557776-3973656" TargetMode="External"/><Relationship Id="rId17" Type="http://schemas.openxmlformats.org/officeDocument/2006/relationships/hyperlink" Target="https://wetland.e-info.org.tw/quiz/what-is-wetl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sfun.com.tw/%E5%9C%B0%E7%90%83%E4%B9%8B%E8%82%BE/wiki-0557776-39736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6%B9%BF%E5%9C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%E6%B9%BF%E5%9C%B0" TargetMode="External"/><Relationship Id="rId10" Type="http://schemas.openxmlformats.org/officeDocument/2006/relationships/hyperlink" Target="http://library.taiwanschoolnet.org/cyberfair2007/jcps/menu2/m2sub2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ibrary.taiwanschoolnet.org/cyberfair2007/jcps/menu2/m2sub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1DDB-C72A-4D19-9EFC-573E9C21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3767</Characters>
  <Application>Microsoft Office Word</Application>
  <DocSecurity>0</DocSecurity>
  <Lines>31</Lines>
  <Paragraphs>8</Paragraphs>
  <ScaleCrop>false</ScaleCrop>
  <Company>NAER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蔡</cp:lastModifiedBy>
  <cp:revision>2</cp:revision>
  <cp:lastPrinted>2017-02-07T02:39:00Z</cp:lastPrinted>
  <dcterms:created xsi:type="dcterms:W3CDTF">2022-06-04T06:27:00Z</dcterms:created>
  <dcterms:modified xsi:type="dcterms:W3CDTF">2022-06-04T06:27:00Z</dcterms:modified>
</cp:coreProperties>
</file>