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國際探索: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 7  節。</w:t>
            </w:r>
          </w:p>
        </w:tc>
      </w:tr>
      <w:tr w:rsidR="009105BD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9105BD" w:rsidRPr="00807D7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9105BD" w:rsidRPr="001A453E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9105BD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2F42E5" w:rsidRDefault="009105BD" w:rsidP="009105BD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能認識自己及其他各個國家及其文化。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Pr="008D7578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活動:教師打招呼並帶領學生練習生活用語。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發展活動:教師讓學生認識自己及其他國家的文化相同與不同處。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遊戲活動讓學生更熟悉各國文化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並試著讓學生們分組上台情境表演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D1E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</w:tbl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母親節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6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9105BD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9105BD" w:rsidRPr="00807D7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9105BD" w:rsidRPr="001A453E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9105BD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201B3D" w:rsidRDefault="009105BD" w:rsidP="009105BD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E16812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節慶文化:母親節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並親手製作卡片向母親表達愛意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201B3D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西卡紙</w:t>
            </w:r>
          </w:p>
          <w:p w:rsidR="00201B3D" w:rsidRPr="002F42E5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彩色筆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端午節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7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9105BD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9105BD" w:rsidRPr="001E16CA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lastRenderedPageBreak/>
              <w:t>27辛 7-I-1 以對方能理解的語彙或合宜的方式，表達對人、事、物的觀察與意見。C2</w:t>
            </w:r>
          </w:p>
          <w:p w:rsidR="009105BD" w:rsidRPr="00807D7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1240E6" w:rsidRDefault="009105BD" w:rsidP="009105BD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9105BD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9105BD" w:rsidRPr="001A453E" w:rsidRDefault="009105BD" w:rsidP="009105BD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9105BD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05BD" w:rsidRPr="002F42E5" w:rsidRDefault="009105BD" w:rsidP="009105BD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5BD" w:rsidRDefault="009105BD" w:rsidP="009105BD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814632" w:rsidRDefault="009105BD" w:rsidP="009105BD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105BD" w:rsidRPr="00201B3D" w:rsidRDefault="009105BD" w:rsidP="009105BD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BD" w:rsidRDefault="009105BD" w:rsidP="009105B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9105BD" w:rsidRDefault="009105BD" w:rsidP="009105BD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9105BD" w:rsidRPr="002F42E5" w:rsidRDefault="009105BD" w:rsidP="009105B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  <w:bookmarkStart w:id="0" w:name="_GoBack"/>
            <w:bookmarkEnd w:id="0"/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lastRenderedPageBreak/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FBC" w:rsidRDefault="00492FBC" w:rsidP="00492FBC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2F42E5" w:rsidRPr="002F42E5" w:rsidRDefault="00492FBC" w:rsidP="00492FBC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端午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及其他國家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節慶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並實際讓學生製作端午節相關飾品，如香包等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綜合活動:再複習一次關於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</w:t>
            </w: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節文化特色。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9C1197" w:rsidRPr="002F42E5" w:rsidRDefault="009C1197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香包材料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8F5B7F" w:rsidRDefault="008F5B7F"/>
    <w:sectPr w:rsidR="008F5B7F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BD" w:rsidRDefault="009105BD" w:rsidP="009105BD">
      <w:r>
        <w:separator/>
      </w:r>
    </w:p>
  </w:endnote>
  <w:endnote w:type="continuationSeparator" w:id="0">
    <w:p w:rsidR="009105BD" w:rsidRDefault="009105BD" w:rsidP="0091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BD" w:rsidRDefault="009105BD" w:rsidP="009105BD">
      <w:r>
        <w:separator/>
      </w:r>
    </w:p>
  </w:footnote>
  <w:footnote w:type="continuationSeparator" w:id="0">
    <w:p w:rsidR="009105BD" w:rsidRDefault="009105BD" w:rsidP="0091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8D"/>
    <w:multiLevelType w:val="hybridMultilevel"/>
    <w:tmpl w:val="64626F56"/>
    <w:lvl w:ilvl="0" w:tplc="18D4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5"/>
    <w:rsid w:val="00126131"/>
    <w:rsid w:val="00201B3D"/>
    <w:rsid w:val="002F42E5"/>
    <w:rsid w:val="00492FBC"/>
    <w:rsid w:val="005B58DC"/>
    <w:rsid w:val="008F4D1E"/>
    <w:rsid w:val="008F5B7F"/>
    <w:rsid w:val="009105BD"/>
    <w:rsid w:val="009226B2"/>
    <w:rsid w:val="009C1197"/>
    <w:rsid w:val="00AE47D3"/>
    <w:rsid w:val="00DD3B55"/>
    <w:rsid w:val="00E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AE7F0-5E58-4F19-BB24-AE1CF0FE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1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uiPriority w:val="1"/>
    <w:qFormat/>
    <w:rsid w:val="00492FBC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2FBC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92FBC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910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05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0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05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3F自然教室</cp:lastModifiedBy>
  <cp:revision>2</cp:revision>
  <dcterms:created xsi:type="dcterms:W3CDTF">2020-07-30T05:56:00Z</dcterms:created>
  <dcterms:modified xsi:type="dcterms:W3CDTF">2020-07-30T05:56:00Z</dcterms:modified>
</cp:coreProperties>
</file>