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1E1C80" w:rsidRPr="001E1C80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國語A組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B2科技資訊與媒體素養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□C1道德實踐與公民意識　</w:t>
            </w:r>
            <w:r w:rsidR="00855095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C2人際關係與團隊合作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7C0771" w:rsidTr="000C15C8">
        <w:trPr>
          <w:trHeight w:val="2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C0771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C0771" w:rsidRPr="00D10EC9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聆聽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1-Ⅰ-2  能學習聆聽不同的媒材，說出聆聽的內容</w:t>
            </w:r>
          </w:p>
          <w:p w:rsidR="00423A93" w:rsidRPr="00501D50" w:rsidRDefault="00423A93" w:rsidP="00423A93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1-Ⅱ-3聽懂適合程度的詩歌、戲劇，並說出聆聽內容的要點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1-Ⅲ-4  結合科技與資訊，提升聆聽的效能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口語表達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2-Ⅰ-1  以正確發音流利的說出語意完整的話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2-Ⅰ-2  說出所聽聞的內容</w:t>
            </w:r>
          </w:p>
          <w:p w:rsidR="00423A93" w:rsidRPr="00501D50" w:rsidRDefault="00423A93" w:rsidP="00423A93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2-Ⅱ-2 運用適當詞語、正確語法表達想法</w:t>
            </w:r>
          </w:p>
          <w:p w:rsidR="00423A93" w:rsidRPr="00501D50" w:rsidRDefault="00423A93" w:rsidP="00423A93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2-Ⅱ-4 樂於參加討論，提供個人的觀點和意見。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2-Ⅲ-5  把握說話內容的主題、重要細節與結構邏輯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2-Ⅲ-6  結合科技與資訊，提升表達的效能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color w:val="000000"/>
                <w:sz w:val="22"/>
              </w:rPr>
              <w:t>識字與寫字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4-Ⅰ-1  認識常用國字至少 1,000 字，使用 700 字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4-Ⅰ-2  利用部件、部首或簡單造字原理，輔助識字</w:t>
            </w:r>
          </w:p>
          <w:p w:rsidR="00423A93" w:rsidRPr="00501D50" w:rsidRDefault="00D632BE" w:rsidP="00423A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4-Ⅰ-5  認識基本筆畫、筆順，掌握運筆原則，寫出正確及工整的國字</w:t>
            </w:r>
          </w:p>
          <w:p w:rsidR="00423A93" w:rsidRPr="00501D50" w:rsidRDefault="00423A93" w:rsidP="00423A9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/>
                <w:b/>
                <w:sz w:val="22"/>
              </w:rPr>
              <w:t>4-</w:t>
            </w:r>
            <w:r w:rsidRPr="00501D50">
              <w:rPr>
                <w:rFonts w:ascii="標楷體" w:eastAsia="標楷體" w:hAnsi="標楷體" w:cs="標楷體"/>
                <w:b/>
                <w:sz w:val="22"/>
              </w:rPr>
              <w:t>Ⅱ</w:t>
            </w:r>
            <w:r w:rsidRPr="00501D50">
              <w:rPr>
                <w:rFonts w:ascii="標楷體" w:eastAsia="標楷體" w:hAnsi="標楷體"/>
                <w:b/>
                <w:sz w:val="22"/>
              </w:rPr>
              <w:t xml:space="preserve">-2 </w:t>
            </w:r>
            <w:r w:rsidRPr="00501D50">
              <w:rPr>
                <w:rFonts w:ascii="標楷體" w:eastAsia="標楷體" w:hAnsi="標楷體" w:cs="標楷體"/>
                <w:b/>
                <w:sz w:val="22"/>
              </w:rPr>
              <w:t>利用共同部件，擴充識字量</w:t>
            </w:r>
          </w:p>
          <w:p w:rsidR="00423A93" w:rsidRPr="00501D50" w:rsidRDefault="00423A93" w:rsidP="00423A93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4-Ⅱ-4 能分辨形近、音近字詞，並正確使用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4-Ⅲ-1  認識常用國字至少 2,700 字，使用 2,200 字 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4-Ⅲ-2  認識文字的字形結構，運用字的部件了解文字的字音與字義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4-Ⅲ-3  運用字辭典、成語辭典等，擴充詞彙，分辨詞義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4-Ⅲ-4  精熟偏旁變化和間架結構要領書寫正確及工整的硬筆字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4-Ⅲ-5  習寫以硬筆字為主，毛筆為輔，掌握楷書形體結構的書寫方法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閱讀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5-Ⅰ-1  以適切的速率正確地朗讀文本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 xml:space="preserve">◎5-Ⅰ-3  讀懂與學習階段相符的文本 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 xml:space="preserve">5-Ⅰ-4  了解文本中的重要訊息與觀點 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5-Ⅰ-6  利用圖像、故事結構等策略，協助文本的理解與內容重述</w:t>
            </w:r>
          </w:p>
          <w:p w:rsidR="00423A93" w:rsidRPr="00501D50" w:rsidRDefault="00423A93" w:rsidP="00423A93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5-Ⅱ-4  掌握句子和段落的意義與主要概念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color w:val="000000"/>
                <w:sz w:val="22"/>
              </w:rPr>
              <w:t>◎5-Ⅲ-3  讀懂與學習階段相符的文本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color w:val="000000"/>
                <w:sz w:val="22"/>
              </w:rPr>
              <w:t>寫作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6-I-3  寫出語意完整的句子、主題明確的段落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sz w:val="22"/>
              </w:rPr>
              <w:t>6-I-4  使用仿寫、接寫等技巧寫作</w:t>
            </w:r>
          </w:p>
          <w:p w:rsidR="00423A93" w:rsidRPr="00501D50" w:rsidRDefault="00423A93" w:rsidP="00423A93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6-Ⅱ-2  培養感受力、想像力等寫作基本能力</w:t>
            </w:r>
          </w:p>
          <w:p w:rsidR="00423A93" w:rsidRPr="00501D50" w:rsidRDefault="00423A93" w:rsidP="00423A93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6-Ⅱ-6  運用改寫、縮寫、擴寫等技巧寫作</w:t>
            </w:r>
          </w:p>
          <w:p w:rsidR="007C0771" w:rsidRPr="00501D50" w:rsidRDefault="00D632BE" w:rsidP="000C15C8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color w:val="000000"/>
                <w:sz w:val="22"/>
              </w:rPr>
              <w:t>6-Ⅲ-2  培養思考力、聯想力等寫作基本能力</w:t>
            </w:r>
          </w:p>
        </w:tc>
      </w:tr>
      <w:tr w:rsidR="007C0771" w:rsidTr="009768A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0771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</w:p>
          <w:p w:rsidR="007C0771" w:rsidRPr="00D10EC9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文字篇章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字詞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Ab-I-11,000個常用字的字形、字音和字義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Ab-I-2700個常用字的使用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Ab-I-3常用字筆畫及部件的空間結構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Ab-I-4常用字部首的表義（分類）功能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Ab-I-51,500個常用語詞的認念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501D50">
              <w:rPr>
                <w:rFonts w:ascii="標楷體" w:eastAsia="標楷體" w:hAnsi="標楷體"/>
                <w:b/>
                <w:sz w:val="22"/>
              </w:rPr>
              <w:t>Ab-I-61,000</w:t>
            </w:r>
            <w:r w:rsidRPr="00501D50">
              <w:rPr>
                <w:rFonts w:ascii="標楷體" w:eastAsia="標楷體" w:hAnsi="標楷體" w:cs="標楷體"/>
                <w:b/>
                <w:sz w:val="22"/>
              </w:rPr>
              <w:t>個常用語詞的使用</w:t>
            </w:r>
          </w:p>
          <w:p w:rsidR="000C15C8" w:rsidRPr="00501D50" w:rsidRDefault="000C15C8" w:rsidP="000C15C8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Ab-Ⅱ-11,800個常用字的字形、字音和字義</w:t>
            </w:r>
          </w:p>
          <w:p w:rsidR="000C15C8" w:rsidRPr="00501D50" w:rsidRDefault="000C15C8" w:rsidP="000C15C8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Ab-Ⅱ-21,200個常用字的使用</w:t>
            </w:r>
          </w:p>
          <w:p w:rsidR="000C15C8" w:rsidRPr="00501D50" w:rsidRDefault="000C15C8" w:rsidP="000C15C8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◎Ab-Ⅱ-3常用字部首及部件的表音及表義功能</w:t>
            </w:r>
          </w:p>
          <w:p w:rsidR="000C15C8" w:rsidRPr="00501D50" w:rsidRDefault="000C15C8" w:rsidP="000C15C8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◎Ab-Ⅱ-4多音字及多義字</w:t>
            </w:r>
          </w:p>
          <w:p w:rsidR="000C15C8" w:rsidRPr="00501D50" w:rsidRDefault="000C15C8" w:rsidP="000C15C8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Ab-Ⅱ-5</w:t>
            </w:r>
            <w:r w:rsidRPr="00501D50"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r w:rsidRPr="00501D50">
              <w:rPr>
                <w:rFonts w:hAnsi="標楷體"/>
                <w:b/>
                <w:sz w:val="22"/>
                <w:szCs w:val="22"/>
              </w:rPr>
              <w:t>3,000個常用語詞的認念</w:t>
            </w:r>
          </w:p>
          <w:p w:rsidR="00D632BE" w:rsidRPr="00501D50" w:rsidRDefault="000C15C8" w:rsidP="000C15C8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501D50">
              <w:rPr>
                <w:rFonts w:ascii="標楷體" w:eastAsia="標楷體" w:hAnsi="標楷體"/>
                <w:b/>
                <w:sz w:val="22"/>
              </w:rPr>
              <w:t>Ab-</w:t>
            </w:r>
            <w:r w:rsidRPr="00501D50">
              <w:rPr>
                <w:rFonts w:ascii="標楷體" w:eastAsia="標楷體" w:hAnsi="標楷體" w:cs="標楷體"/>
                <w:b/>
                <w:sz w:val="22"/>
              </w:rPr>
              <w:t>Ⅱ</w:t>
            </w:r>
            <w:r w:rsidRPr="00501D50">
              <w:rPr>
                <w:rFonts w:ascii="標楷體" w:eastAsia="標楷體" w:hAnsi="標楷體"/>
                <w:b/>
                <w:sz w:val="22"/>
              </w:rPr>
              <w:t>-6</w:t>
            </w:r>
            <w:r w:rsidRPr="00501D50"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Pr="00501D50">
              <w:rPr>
                <w:rFonts w:ascii="標楷體" w:eastAsia="標楷體" w:hAnsi="標楷體"/>
                <w:b/>
                <w:sz w:val="22"/>
              </w:rPr>
              <w:t>2,000</w:t>
            </w:r>
            <w:r w:rsidRPr="00501D50">
              <w:rPr>
                <w:rFonts w:ascii="標楷體" w:eastAsia="標楷體" w:hAnsi="標楷體" w:cs="標楷體"/>
                <w:b/>
                <w:sz w:val="22"/>
              </w:rPr>
              <w:t>個常用語詞的使用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Ab-Ⅲ-1  2,700 個常用字的字形、字音和字義 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Ab-Ⅲ-2  2,200 個常用字的使用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◎Ab-Ⅲ-3  常用字部首及部件的表音及表義功能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501D50">
              <w:rPr>
                <w:rFonts w:ascii="標楷體" w:eastAsia="標楷體" w:hAnsi="標楷體" w:cs="標楷體" w:hint="eastAsia"/>
                <w:b/>
                <w:sz w:val="22"/>
              </w:rPr>
              <w:t>句段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Ac-I-2簡單的基本句型</w:t>
            </w:r>
          </w:p>
          <w:p w:rsidR="000C15C8" w:rsidRPr="00501D50" w:rsidRDefault="000C15C8" w:rsidP="000C15C8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Ac-Ⅱ-2各種基本句型</w:t>
            </w:r>
          </w:p>
          <w:p w:rsidR="000C15C8" w:rsidRPr="00501D50" w:rsidRDefault="000C15C8" w:rsidP="000C15C8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Ac-Ⅱ-3基礎複句的意義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Ac-Ⅲ-2  基礎句型結構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Ac-Ⅲ-3  各種複句的意義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 w:hint="eastAsia"/>
                <w:b/>
                <w:sz w:val="22"/>
                <w:szCs w:val="22"/>
              </w:rPr>
              <w:t>篇章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Ad-I-2篇章的大意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501D50">
              <w:rPr>
                <w:rFonts w:ascii="標楷體" w:eastAsia="標楷體" w:hAnsi="標楷體"/>
                <w:b/>
                <w:sz w:val="22"/>
              </w:rPr>
              <w:t>Ad-I-3</w:t>
            </w:r>
            <w:r w:rsidRPr="00501D50">
              <w:rPr>
                <w:rFonts w:ascii="標楷體" w:eastAsia="標楷體" w:hAnsi="標楷體" w:cs="標楷體"/>
                <w:b/>
                <w:sz w:val="22"/>
              </w:rPr>
              <w:t>故事、童詩等</w:t>
            </w:r>
          </w:p>
          <w:p w:rsidR="00315EDB" w:rsidRPr="00501D50" w:rsidRDefault="00315EDB" w:rsidP="00315EDB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Ad-Ⅱ-1意義段</w:t>
            </w:r>
          </w:p>
          <w:p w:rsidR="00315EDB" w:rsidRPr="00501D50" w:rsidRDefault="00315EDB" w:rsidP="00315EDB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Ad-Ⅱ-2篇章的大意、主旨與簡單結構</w:t>
            </w:r>
          </w:p>
          <w:p w:rsidR="00315EDB" w:rsidRPr="00501D50" w:rsidRDefault="00315EDB" w:rsidP="00315EDB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501D50">
              <w:rPr>
                <w:rFonts w:ascii="標楷體" w:eastAsia="標楷體" w:hAnsi="標楷體"/>
                <w:b/>
                <w:sz w:val="22"/>
              </w:rPr>
              <w:t>Ad-</w:t>
            </w:r>
            <w:r w:rsidRPr="00501D50">
              <w:rPr>
                <w:rFonts w:ascii="標楷體" w:eastAsia="標楷體" w:hAnsi="標楷體" w:cs="標楷體"/>
                <w:b/>
                <w:sz w:val="22"/>
              </w:rPr>
              <w:t>Ⅱ</w:t>
            </w:r>
            <w:r w:rsidRPr="00501D50">
              <w:rPr>
                <w:rFonts w:ascii="標楷體" w:eastAsia="標楷體" w:hAnsi="標楷體"/>
                <w:b/>
                <w:sz w:val="22"/>
              </w:rPr>
              <w:t>-3</w:t>
            </w:r>
            <w:r w:rsidRPr="00501D50">
              <w:rPr>
                <w:rFonts w:ascii="標楷體" w:eastAsia="標楷體" w:hAnsi="標楷體" w:cs="標楷體"/>
                <w:b/>
                <w:sz w:val="22"/>
              </w:rPr>
              <w:t>故事、童詩、現代散文等</w:t>
            </w:r>
          </w:p>
          <w:p w:rsidR="00D632BE" w:rsidRPr="00501D50" w:rsidRDefault="00D632BE" w:rsidP="00D632B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501D50">
              <w:rPr>
                <w:rFonts w:ascii="標楷體" w:eastAsia="標楷體" w:hAnsi="標楷體" w:hint="eastAsia"/>
                <w:b/>
                <w:color w:val="000000"/>
                <w:sz w:val="22"/>
              </w:rPr>
              <w:t>Ad-Ⅲ-2  篇章的大意、主旨、結構與寓意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文本表述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記敘文本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Ba-I-1順敘法。</w:t>
            </w:r>
          </w:p>
          <w:p w:rsidR="00315EDB" w:rsidRPr="00501D50" w:rsidRDefault="00315EDB" w:rsidP="00315EDB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Ba-Ⅱ-1記敘文本的結構</w:t>
            </w:r>
          </w:p>
          <w:p w:rsidR="00315EDB" w:rsidRPr="00501D50" w:rsidRDefault="00315EDB" w:rsidP="00315EDB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/>
                <w:b/>
                <w:sz w:val="22"/>
                <w:szCs w:val="22"/>
              </w:rPr>
              <w:t>◎Ba-Ⅱ-2順敘與倒敘法</w:t>
            </w:r>
          </w:p>
          <w:p w:rsidR="00D632BE" w:rsidRPr="00501D50" w:rsidRDefault="00D632BE" w:rsidP="00D632BE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 w:hint="eastAsia"/>
                <w:b/>
                <w:sz w:val="22"/>
                <w:szCs w:val="22"/>
              </w:rPr>
              <w:t>◎Ba-Ⅲ-1  順敘與倒敘法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抒情文本</w:t>
            </w:r>
          </w:p>
          <w:p w:rsidR="00315EDB" w:rsidRPr="00501D50" w:rsidRDefault="00315EDB" w:rsidP="00315EDB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 w:cs="Cambria Math"/>
                <w:b/>
                <w:sz w:val="22"/>
                <w:szCs w:val="22"/>
              </w:rPr>
              <w:t>◎</w:t>
            </w:r>
            <w:r w:rsidRPr="00501D50">
              <w:rPr>
                <w:rFonts w:hAnsi="標楷體" w:cs="Times New Roman"/>
                <w:b/>
                <w:sz w:val="22"/>
                <w:szCs w:val="22"/>
              </w:rPr>
              <w:t>Bb-I-1</w:t>
            </w:r>
            <w:r w:rsidRPr="00501D50">
              <w:rPr>
                <w:rFonts w:hAnsi="標楷體"/>
                <w:b/>
                <w:sz w:val="22"/>
                <w:szCs w:val="22"/>
              </w:rPr>
              <w:t>自我情感的表達</w:t>
            </w:r>
          </w:p>
          <w:p w:rsidR="00315EDB" w:rsidRPr="00501D50" w:rsidRDefault="00315EDB" w:rsidP="00315EDB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 w:cs="Cambria Math"/>
                <w:b/>
                <w:sz w:val="22"/>
                <w:szCs w:val="22"/>
              </w:rPr>
              <w:t>◎</w:t>
            </w:r>
            <w:r w:rsidRPr="00501D50">
              <w:rPr>
                <w:rFonts w:hAnsi="標楷體" w:cs="Times New Roman"/>
                <w:b/>
                <w:sz w:val="22"/>
                <w:szCs w:val="22"/>
              </w:rPr>
              <w:t>Bb-I-2</w:t>
            </w:r>
            <w:r w:rsidRPr="00501D50">
              <w:rPr>
                <w:rFonts w:hAnsi="標楷體"/>
                <w:b/>
                <w:sz w:val="22"/>
                <w:szCs w:val="22"/>
              </w:rPr>
              <w:t>人際交流的情感</w:t>
            </w:r>
          </w:p>
          <w:p w:rsidR="00315EDB" w:rsidRPr="00501D50" w:rsidRDefault="00315EDB" w:rsidP="00315EDB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 w:cs="Times New Roman"/>
                <w:b/>
                <w:sz w:val="22"/>
                <w:szCs w:val="22"/>
              </w:rPr>
              <w:t>Bb-I-3</w:t>
            </w:r>
            <w:r w:rsidRPr="00501D50">
              <w:rPr>
                <w:rFonts w:hAnsi="標楷體"/>
                <w:b/>
                <w:sz w:val="22"/>
                <w:szCs w:val="22"/>
              </w:rPr>
              <w:t>對物或自然的感受</w:t>
            </w:r>
          </w:p>
          <w:p w:rsidR="00315EDB" w:rsidRPr="00501D50" w:rsidRDefault="00315EDB" w:rsidP="00315EDB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Cambria Math"/>
                <w:b/>
                <w:sz w:val="22"/>
              </w:rPr>
              <w:t>◎</w:t>
            </w:r>
            <w:r w:rsidRPr="00501D50">
              <w:rPr>
                <w:rFonts w:ascii="標楷體" w:eastAsia="標楷體" w:hAnsi="標楷體" w:cs="Times New Roman"/>
                <w:b/>
                <w:sz w:val="22"/>
              </w:rPr>
              <w:t>Bb-I-4</w:t>
            </w:r>
            <w:r w:rsidRPr="00501D50">
              <w:rPr>
                <w:rFonts w:ascii="標楷體" w:eastAsia="標楷體" w:hAnsi="標楷體"/>
                <w:b/>
                <w:sz w:val="22"/>
              </w:rPr>
              <w:t>直接抒情</w:t>
            </w:r>
          </w:p>
          <w:p w:rsidR="00315EDB" w:rsidRPr="00501D50" w:rsidRDefault="00315EDB" w:rsidP="00315EDB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 w:cs="Cambria Math"/>
                <w:b/>
                <w:sz w:val="22"/>
                <w:szCs w:val="22"/>
              </w:rPr>
              <w:lastRenderedPageBreak/>
              <w:t>◎</w:t>
            </w:r>
            <w:r w:rsidRPr="00501D50">
              <w:rPr>
                <w:rFonts w:hAnsi="標楷體" w:cs="Times New Roman"/>
                <w:b/>
                <w:sz w:val="22"/>
                <w:szCs w:val="22"/>
              </w:rPr>
              <w:t>Bb-</w:t>
            </w:r>
            <w:r w:rsidRPr="00501D50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501D50">
              <w:rPr>
                <w:rFonts w:hAnsi="標楷體" w:cs="Times New Roman"/>
                <w:b/>
                <w:sz w:val="22"/>
                <w:szCs w:val="22"/>
              </w:rPr>
              <w:t>-1</w:t>
            </w:r>
            <w:r w:rsidRPr="00501D50">
              <w:rPr>
                <w:rFonts w:hAnsi="標楷體"/>
                <w:b/>
                <w:sz w:val="22"/>
                <w:szCs w:val="22"/>
              </w:rPr>
              <w:t>自我情感</w:t>
            </w:r>
            <w:bookmarkStart w:id="0" w:name="_GoBack"/>
            <w:bookmarkEnd w:id="0"/>
            <w:r w:rsidRPr="00501D50">
              <w:rPr>
                <w:rFonts w:hAnsi="標楷體"/>
                <w:b/>
                <w:sz w:val="22"/>
                <w:szCs w:val="22"/>
              </w:rPr>
              <w:t>的表達</w:t>
            </w:r>
          </w:p>
          <w:p w:rsidR="00315EDB" w:rsidRPr="00501D50" w:rsidRDefault="00315EDB" w:rsidP="00315EDB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 w:cs="Cambria Math"/>
                <w:b/>
                <w:sz w:val="22"/>
                <w:szCs w:val="22"/>
              </w:rPr>
              <w:t>◎</w:t>
            </w:r>
            <w:r w:rsidRPr="00501D50">
              <w:rPr>
                <w:rFonts w:hAnsi="標楷體" w:cs="Times New Roman"/>
                <w:b/>
                <w:sz w:val="22"/>
                <w:szCs w:val="22"/>
              </w:rPr>
              <w:t>Bb-</w:t>
            </w:r>
            <w:r w:rsidRPr="00501D50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501D50">
              <w:rPr>
                <w:rFonts w:hAnsi="標楷體" w:cs="Times New Roman"/>
                <w:b/>
                <w:sz w:val="22"/>
                <w:szCs w:val="22"/>
              </w:rPr>
              <w:t>-2</w:t>
            </w:r>
            <w:r w:rsidRPr="00501D50">
              <w:rPr>
                <w:rFonts w:hAnsi="標楷體"/>
                <w:b/>
                <w:sz w:val="22"/>
                <w:szCs w:val="22"/>
              </w:rPr>
              <w:t>人際交流的情感</w:t>
            </w:r>
          </w:p>
          <w:p w:rsidR="00315EDB" w:rsidRPr="00501D50" w:rsidRDefault="00315EDB" w:rsidP="00315EDB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 w:rsidRPr="00501D50">
              <w:rPr>
                <w:rFonts w:hAnsi="標楷體" w:cs="Times New Roman"/>
                <w:b/>
                <w:sz w:val="22"/>
                <w:szCs w:val="22"/>
              </w:rPr>
              <w:t>Bb-</w:t>
            </w:r>
            <w:r w:rsidRPr="00501D50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501D50">
              <w:rPr>
                <w:rFonts w:hAnsi="標楷體" w:cs="Times New Roman"/>
                <w:b/>
                <w:sz w:val="22"/>
                <w:szCs w:val="22"/>
              </w:rPr>
              <w:t>-3</w:t>
            </w:r>
            <w:r w:rsidRPr="00501D50">
              <w:rPr>
                <w:rFonts w:hAnsi="標楷體"/>
                <w:b/>
                <w:sz w:val="22"/>
                <w:szCs w:val="22"/>
              </w:rPr>
              <w:t>對物或自然的情懷</w:t>
            </w:r>
          </w:p>
          <w:p w:rsidR="00315EDB" w:rsidRPr="00501D50" w:rsidRDefault="00315EDB" w:rsidP="00315ED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01D50">
              <w:rPr>
                <w:rFonts w:ascii="標楷體" w:eastAsia="標楷體" w:hAnsi="標楷體" w:cs="Cambria Math"/>
                <w:b/>
                <w:sz w:val="22"/>
              </w:rPr>
              <w:t>◎</w:t>
            </w:r>
            <w:r w:rsidRPr="00501D50">
              <w:rPr>
                <w:rFonts w:ascii="標楷體" w:eastAsia="標楷體" w:hAnsi="標楷體" w:cs="Times New Roman"/>
                <w:b/>
                <w:sz w:val="22"/>
              </w:rPr>
              <w:t>Bb-</w:t>
            </w:r>
            <w:r w:rsidRPr="00501D50">
              <w:rPr>
                <w:rFonts w:ascii="標楷體" w:eastAsia="標楷體" w:hAnsi="標楷體" w:cs="細明體" w:hint="eastAsia"/>
                <w:b/>
                <w:sz w:val="22"/>
              </w:rPr>
              <w:t>Ⅱ</w:t>
            </w:r>
            <w:r w:rsidRPr="00501D50">
              <w:rPr>
                <w:rFonts w:ascii="標楷體" w:eastAsia="標楷體" w:hAnsi="標楷體" w:cs="Times New Roman"/>
                <w:b/>
                <w:sz w:val="22"/>
              </w:rPr>
              <w:t>-4</w:t>
            </w:r>
            <w:r w:rsidRPr="00501D50">
              <w:rPr>
                <w:rFonts w:ascii="標楷體" w:eastAsia="標楷體" w:hAnsi="標楷體"/>
                <w:b/>
                <w:sz w:val="22"/>
              </w:rPr>
              <w:t>直接抒情。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◎Bb-Ⅲ-1  自我情感的表達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◎Bb-Ⅲ-2  人際交流的情感  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 xml:space="preserve"> Bb-Ⅲ-3  對物或自然的感悟 </w:t>
            </w:r>
          </w:p>
          <w:p w:rsidR="00D632BE" w:rsidRPr="00501D50" w:rsidRDefault="00D632BE" w:rsidP="00D632BE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1D5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◎Bb-Ⅲ-4  直接抒情</w:t>
            </w:r>
          </w:p>
          <w:p w:rsidR="007C0771" w:rsidRPr="00501D50" w:rsidRDefault="007C0771" w:rsidP="00B87F4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C0771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0771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7C0771" w:rsidRPr="00D10EC9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7C0771" w:rsidRDefault="007C0771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7C0771" w:rsidRDefault="007C0771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■科技教育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7C0771" w:rsidRPr="00D10EC9" w:rsidRDefault="007C0771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■戶外教育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7C0771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C0771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7C0771" w:rsidRPr="00D10EC9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C0771" w:rsidRPr="00BD68CB" w:rsidRDefault="007C0771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7C0771" w:rsidRDefault="007C0771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855095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855095">
              <w:rPr>
                <w:rFonts w:ascii="標楷體" w:eastAsia="標楷體" w:hAnsi="標楷體" w:hint="eastAsia"/>
                <w:sz w:val="22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7C0771" w:rsidRDefault="007C0771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C0771" w:rsidRPr="00BD68CB" w:rsidRDefault="007C0771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7C0771" w:rsidRPr="00D10EC9" w:rsidRDefault="007C0771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7C0771" w:rsidRPr="00D10EC9" w:rsidRDefault="007C0771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7C0771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C0771" w:rsidRDefault="007C0771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C0771" w:rsidRPr="00BD68CB" w:rsidRDefault="007C0771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7C0771" w:rsidRDefault="007C0771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7C0771" w:rsidRPr="00D10EC9" w:rsidRDefault="007C0771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協同教學　■多層次教學　■其他：電子白板多媒體教學</w:t>
            </w:r>
          </w:p>
        </w:tc>
      </w:tr>
      <w:tr w:rsidR="007C0771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C0771" w:rsidRDefault="007C0771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C0771" w:rsidRPr="00BD68CB" w:rsidRDefault="007C0771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7C0771" w:rsidRPr="00D10EC9" w:rsidRDefault="007C0771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C0771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771" w:rsidRPr="00D10EC9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771" w:rsidRPr="00D10EC9" w:rsidRDefault="007C0771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771" w:rsidRPr="00D10EC9" w:rsidRDefault="007C0771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C0771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771" w:rsidRPr="00D10EC9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0771" w:rsidRPr="00497649" w:rsidRDefault="007C0771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97649">
              <w:rPr>
                <w:rFonts w:ascii="標楷體" w:eastAsia="標楷體" w:hAnsi="標楷體" w:hint="eastAsia"/>
                <w:b/>
                <w:szCs w:val="28"/>
              </w:rPr>
              <w:t>小鎮的柿餅節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第1段課文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第2段課文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  <w:tr w:rsidR="007C0771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771" w:rsidRPr="00D10EC9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8-14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0771" w:rsidRPr="00497649" w:rsidRDefault="007C0771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97649">
              <w:rPr>
                <w:rFonts w:ascii="標楷體" w:eastAsia="標楷體" w:hAnsi="標楷體" w:hint="eastAsia"/>
                <w:b/>
                <w:szCs w:val="28"/>
              </w:rPr>
              <w:t>國王的新衣裳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第1段課文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第2段課文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7C0771" w:rsidRPr="00D529CE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5,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 xml:space="preserve"> 第</w:t>
            </w: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497649" w:rsidRDefault="007C0771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C0771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771" w:rsidRPr="00D10EC9" w:rsidRDefault="007C0771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15-21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0771" w:rsidRPr="00FC3474" w:rsidRDefault="007C0771" w:rsidP="0049764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C3474">
              <w:rPr>
                <w:rFonts w:ascii="標楷體" w:eastAsia="標楷體" w:hAnsi="標楷體" w:hint="eastAsia"/>
                <w:b/>
                <w:szCs w:val="28"/>
              </w:rPr>
              <w:t>聰明的小熊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第1段課文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第2段課文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7C0771" w:rsidRPr="00D529CE" w:rsidRDefault="007C0771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7C0771" w:rsidRPr="00497649" w:rsidRDefault="007C0771" w:rsidP="00FC3474">
            <w:pPr>
              <w:rPr>
                <w:rFonts w:ascii="標楷體" w:eastAsia="標楷體" w:hAnsi="標楷體"/>
                <w:szCs w:val="28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</w:tbl>
    <w:p w:rsidR="00381C9B" w:rsidRDefault="00381C9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C15C8"/>
    <w:rsid w:val="000E5F20"/>
    <w:rsid w:val="00131CD3"/>
    <w:rsid w:val="00140E6C"/>
    <w:rsid w:val="001430A8"/>
    <w:rsid w:val="00174ED1"/>
    <w:rsid w:val="00182751"/>
    <w:rsid w:val="001913FE"/>
    <w:rsid w:val="001A20E5"/>
    <w:rsid w:val="001D0DC4"/>
    <w:rsid w:val="001E1C80"/>
    <w:rsid w:val="00220942"/>
    <w:rsid w:val="00234A27"/>
    <w:rsid w:val="00236D06"/>
    <w:rsid w:val="00250C86"/>
    <w:rsid w:val="002918B3"/>
    <w:rsid w:val="00315EDB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23A93"/>
    <w:rsid w:val="00432841"/>
    <w:rsid w:val="004411B7"/>
    <w:rsid w:val="0044255F"/>
    <w:rsid w:val="00467AA8"/>
    <w:rsid w:val="004748BF"/>
    <w:rsid w:val="00497649"/>
    <w:rsid w:val="004B650B"/>
    <w:rsid w:val="004D13D9"/>
    <w:rsid w:val="00501D50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A05"/>
    <w:rsid w:val="007C0771"/>
    <w:rsid w:val="007F2C2E"/>
    <w:rsid w:val="00836B59"/>
    <w:rsid w:val="00851385"/>
    <w:rsid w:val="00855095"/>
    <w:rsid w:val="008859E7"/>
    <w:rsid w:val="008C2913"/>
    <w:rsid w:val="008E1290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60355"/>
    <w:rsid w:val="00D632BE"/>
    <w:rsid w:val="00D90E97"/>
    <w:rsid w:val="00DA43CB"/>
    <w:rsid w:val="00DC7D4D"/>
    <w:rsid w:val="00DD62DA"/>
    <w:rsid w:val="00DE36CA"/>
    <w:rsid w:val="00DE7F24"/>
    <w:rsid w:val="00DF4CF7"/>
    <w:rsid w:val="00E1598B"/>
    <w:rsid w:val="00E27ABC"/>
    <w:rsid w:val="00E27F20"/>
    <w:rsid w:val="00E60478"/>
    <w:rsid w:val="00E96DC1"/>
    <w:rsid w:val="00EA6F33"/>
    <w:rsid w:val="00EC08CA"/>
    <w:rsid w:val="00ED10D5"/>
    <w:rsid w:val="00ED6D3C"/>
    <w:rsid w:val="00F2631E"/>
    <w:rsid w:val="00F60E39"/>
    <w:rsid w:val="00F913E2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423A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423A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402</Words>
  <Characters>2293</Characters>
  <Application>Microsoft Office Word</Application>
  <DocSecurity>0</DocSecurity>
  <Lines>19</Lines>
  <Paragraphs>5</Paragraphs>
  <ScaleCrop>false</ScaleCrop>
  <Company>HP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21</cp:revision>
  <cp:lastPrinted>2020-05-08T03:57:00Z</cp:lastPrinted>
  <dcterms:created xsi:type="dcterms:W3CDTF">2020-06-06T07:26:00Z</dcterms:created>
  <dcterms:modified xsi:type="dcterms:W3CDTF">2020-06-09T15:01:00Z</dcterms:modified>
</cp:coreProperties>
</file>