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國際探索: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1869C1" w:rsidP="001869C1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 7  節。</w:t>
            </w:r>
          </w:p>
        </w:tc>
      </w:tr>
      <w:tr w:rsidR="00D16888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D16888" w:rsidRPr="00807D7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D16888" w:rsidRPr="001A453E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D16888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2F42E5" w:rsidRDefault="00D16888" w:rsidP="00D16888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能認識自己及其他各個國家及其文化。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8F4D1E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文化大不同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D1E" w:rsidRPr="008D7578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活動:教師打招呼並帶領學生練習生活用語。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發展活動:教師讓學生認識自己及其他國家的文化相同與不同處。</w:t>
            </w:r>
          </w:p>
          <w:p w:rsid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遊戲活動讓學生更熟悉各國文化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並試著讓學生們分組上台情境表演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8F4D1E" w:rsidP="008F4D1E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D1E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</w:tbl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母親節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EF230B" w:rsidP="00EF230B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6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D16888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D16888" w:rsidRPr="00807D7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D16888" w:rsidRPr="001A453E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D16888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201B3D" w:rsidRDefault="00D16888" w:rsidP="00D16888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E16812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節慶文化:母親節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201B3D">
              <w:rPr>
                <w:rFonts w:ascii="標楷體" w:eastAsia="標楷體" w:hAnsi="標楷體" w:cs="新細明體" w:hint="eastAsia"/>
                <w:sz w:val="28"/>
                <w:szCs w:val="28"/>
              </w:rPr>
              <w:t>並親手製作卡片向母親表達愛意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8F4D1E" w:rsidRDefault="00492FBC" w:rsidP="00492FBC">
            <w:pPr>
              <w:pStyle w:val="a3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關於母親節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201B3D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西卡紙</w:t>
            </w:r>
          </w:p>
          <w:p w:rsidR="00201B3D" w:rsidRPr="002F42E5" w:rsidRDefault="00201B3D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彩色筆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2F42E5" w:rsidRDefault="002F42E5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Default="00E16812" w:rsidP="002F42E5">
      <w:pPr>
        <w:rPr>
          <w:rFonts w:ascii="Calibri" w:eastAsia="新細明體" w:hAnsi="Calibri" w:cs="Times New Roman"/>
        </w:rPr>
      </w:pPr>
    </w:p>
    <w:p w:rsidR="00E16812" w:rsidRPr="002F42E5" w:rsidRDefault="00E16812" w:rsidP="002F42E5">
      <w:pPr>
        <w:rPr>
          <w:rFonts w:ascii="Calibri" w:eastAsia="新細明體" w:hAnsi="Calibri" w:cs="Times New Roman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2F42E5" w:rsidRPr="002F42E5" w:rsidTr="00381EF7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 w:line="4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□部定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Noto Sans Mono CJK JP Regular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Noto Sans Mono CJK JP Regular" w:hint="eastAsia"/>
                <w:kern w:val="0"/>
                <w:sz w:val="28"/>
                <w:szCs w:val="28"/>
                <w:lang w:val="zh-TW" w:bidi="zh-TW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61" w:line="300" w:lineRule="exact"/>
              <w:ind w:left="119" w:right="6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節慶文化：</w:t>
            </w:r>
          </w:p>
          <w:p w:rsidR="002F42E5" w:rsidRPr="002F42E5" w:rsidRDefault="002F42E5" w:rsidP="002F42E5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  <w:lang w:val="zh-TW" w:bidi="zh-TW"/>
              </w:rPr>
              <w:t>端午節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微軟正黑體" w:hint="eastAsia"/>
                <w:kern w:val="0"/>
                <w:sz w:val="28"/>
                <w:szCs w:val="28"/>
                <w:lang w:val="zh-TW" w:bidi="zh-TW"/>
              </w:rPr>
              <w:t>設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9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喻碧嫈</w:t>
            </w:r>
          </w:p>
        </w:tc>
      </w:tr>
      <w:tr w:rsidR="002F42E5" w:rsidRPr="002F42E5" w:rsidTr="00381EF7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26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2E5" w:rsidRPr="002F42E5" w:rsidRDefault="00EF230B" w:rsidP="00EF230B">
            <w:pPr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autoSpaceDE w:val="0"/>
              <w:autoSpaceDN w:val="0"/>
              <w:spacing w:line="300" w:lineRule="exact"/>
              <w:ind w:left="11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□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一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■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二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□三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□四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□五</w:t>
            </w:r>
            <w:r w:rsidR="002F42E5"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right="11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00" w:lineRule="exact"/>
              <w:ind w:left="123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共</w:t>
            </w:r>
            <w:r w:rsidR="00E16812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7</w:t>
            </w: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 xml:space="preserve"> 節。</w:t>
            </w:r>
          </w:p>
        </w:tc>
      </w:tr>
      <w:tr w:rsidR="00D16888" w:rsidRPr="002F42E5" w:rsidTr="00381EF7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bookmarkStart w:id="0" w:name="_GoBack" w:colFirst="0" w:colLast="4"/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D16888" w:rsidRPr="001E16CA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lastRenderedPageBreak/>
              <w:t>27辛 7-I-1 以對方能理解的語彙或合宜的方式，表達對人、事、物的觀察與意見。C2</w:t>
            </w:r>
          </w:p>
          <w:p w:rsidR="00D16888" w:rsidRPr="00807D7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1240E6" w:rsidRDefault="00D16888" w:rsidP="00D1688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D16888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D16888" w:rsidRPr="001A453E" w:rsidRDefault="00D16888" w:rsidP="00D1688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D16888" w:rsidRPr="002F42E5" w:rsidTr="00381EF7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jc w:val="both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6888" w:rsidRPr="002F42E5" w:rsidRDefault="00D16888" w:rsidP="00D16888">
            <w:pPr>
              <w:autoSpaceDE w:val="0"/>
              <w:autoSpaceDN w:val="0"/>
              <w:ind w:left="120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1240E6">
              <w:rPr>
                <w:rFonts w:ascii="微軟正黑體" w:eastAsia="微軟正黑體" w:hAnsi="微軟正黑體" w:cs="微軟正黑體" w:hint="eastAsia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888" w:rsidRDefault="00D16888" w:rsidP="00D16888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814632" w:rsidRDefault="00D16888" w:rsidP="00D16888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D16888" w:rsidRPr="00201B3D" w:rsidRDefault="00D16888" w:rsidP="00D16888">
            <w:pPr>
              <w:tabs>
                <w:tab w:val="left" w:pos="773"/>
              </w:tabs>
              <w:autoSpaceDE w:val="0"/>
              <w:autoSpaceDN w:val="0"/>
              <w:spacing w:line="360" w:lineRule="exact"/>
              <w:jc w:val="both"/>
              <w:rPr>
                <w:rFonts w:ascii="Noto Sans Mono CJK JP Regular" w:eastAsia="Noto Sans Mono CJK JP Regular" w:hAnsi="Arial" w:cs="Arial"/>
                <w:kern w:val="0"/>
                <w:lang w:bidi="zh-TW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88" w:rsidRDefault="00D16888" w:rsidP="00D1688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D16888" w:rsidRDefault="00D16888" w:rsidP="00D16888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D16888" w:rsidRPr="002F42E5" w:rsidRDefault="00D16888" w:rsidP="00D16888">
            <w:pPr>
              <w:spacing w:line="360" w:lineRule="exact"/>
              <w:rPr>
                <w:rFonts w:ascii="Calibri" w:eastAsia="新細明體" w:hAnsi="Calibri" w:cs="Times New Roman"/>
                <w:sz w:val="20"/>
                <w:szCs w:val="20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bookmarkEnd w:id="0"/>
      <w:tr w:rsidR="002F42E5" w:rsidRPr="002F42E5" w:rsidTr="00381EF7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13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2F42E5" w:rsidRPr="002F42E5" w:rsidRDefault="002F42E5" w:rsidP="002F42E5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F42E5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2F42E5" w:rsidRPr="002F42E5" w:rsidTr="00381EF7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494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自編</w:t>
            </w:r>
          </w:p>
        </w:tc>
      </w:tr>
      <w:tr w:rsidR="002F42E5" w:rsidRPr="002F42E5" w:rsidTr="00381EF7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before="76"/>
              <w:ind w:left="193"/>
              <w:jc w:val="both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lastRenderedPageBreak/>
              <w:t>學習單</w:t>
            </w:r>
          </w:p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</w:tc>
      </w:tr>
      <w:tr w:rsidR="002F42E5" w:rsidRPr="002F42E5" w:rsidTr="00381EF7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lastRenderedPageBreak/>
              <w:t>教學目標</w:t>
            </w:r>
          </w:p>
        </w:tc>
      </w:tr>
      <w:tr w:rsidR="002F42E5" w:rsidRPr="002F42E5" w:rsidTr="00381EF7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2F42E5" w:rsidRPr="002F42E5" w:rsidRDefault="002F42E5" w:rsidP="002F42E5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1. 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t>能聽懂並說出生活用語及教室用語。</w:t>
            </w:r>
            <w:r w:rsidRPr="002F42E5">
              <w:rPr>
                <w:rFonts w:ascii="標楷體" w:eastAsia="標楷體" w:hAnsi="標楷體" w:cs="Times New Roman" w:hint="eastAsia"/>
                <w:sz w:val="28"/>
                <w:szCs w:val="28"/>
              </w:rPr>
              <w:br/>
            </w:r>
            <w:r w:rsidRPr="002F42E5">
              <w:rPr>
                <w:rFonts w:ascii="標楷體" w:eastAsia="標楷體" w:hAnsi="標楷體" w:cs="Times New Roman"/>
                <w:sz w:val="28"/>
                <w:szCs w:val="28"/>
              </w:rPr>
              <w:t xml:space="preserve">2. 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E16812" w:rsidRPr="00E16812"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端午節的由來以及</w:t>
            </w:r>
            <w:r w:rsidR="00E16812" w:rsidRPr="00E16812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2F42E5" w:rsidRPr="002F42E5" w:rsidTr="00381EF7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活動名稱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33" w:right="114"/>
              <w:jc w:val="center"/>
              <w:rPr>
                <w:rFonts w:ascii="Noto Sans Mono CJK JP Regular" w:eastAsia="新細明體" w:hAnsi="Arial" w:cs="Arial"/>
                <w:kern w:val="0"/>
                <w:lang w:val="zh-TW" w:bidi="zh-TW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before="28"/>
              <w:ind w:left="3125" w:right="3089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F42E5" w:rsidRPr="002F42E5" w:rsidRDefault="002F42E5" w:rsidP="002F42E5">
            <w:pPr>
              <w:autoSpaceDE w:val="0"/>
              <w:autoSpaceDN w:val="0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教學設備</w:t>
            </w:r>
            <w:r w:rsidRPr="002F42E5">
              <w:rPr>
                <w:rFonts w:ascii="Noto Sans Mono CJK JP Regular" w:eastAsia="Noto Sans Mono CJK JP Regular" w:hAnsi="Arial" w:cs="Arial" w:hint="eastAsia"/>
                <w:kern w:val="0"/>
                <w:lang w:val="zh-TW" w:bidi="zh-TW"/>
              </w:rPr>
              <w:t>/</w:t>
            </w:r>
          </w:p>
          <w:p w:rsidR="002F42E5" w:rsidRPr="002F42E5" w:rsidRDefault="002F42E5" w:rsidP="002F42E5">
            <w:pPr>
              <w:autoSpaceDE w:val="0"/>
              <w:autoSpaceDN w:val="0"/>
              <w:spacing w:line="321" w:lineRule="exact"/>
              <w:ind w:left="151" w:right="98"/>
              <w:jc w:val="center"/>
              <w:rPr>
                <w:rFonts w:ascii="Noto Sans Mono CJK JP Regular" w:eastAsia="Noto Sans Mono CJK JP Regular" w:hAnsi="Arial" w:cs="Arial"/>
                <w:kern w:val="0"/>
                <w:lang w:val="zh-TW" w:bidi="zh-TW"/>
              </w:rPr>
            </w:pPr>
            <w:r w:rsidRPr="002F42E5">
              <w:rPr>
                <w:rFonts w:ascii="微軟正黑體" w:eastAsia="微軟正黑體" w:hAnsi="微軟正黑體" w:cs="微軟正黑體" w:hint="eastAsia"/>
                <w:kern w:val="0"/>
                <w:lang w:val="zh-TW" w:bidi="zh-TW"/>
              </w:rPr>
              <w:t>資源</w:t>
            </w:r>
          </w:p>
        </w:tc>
      </w:tr>
      <w:tr w:rsidR="002F42E5" w:rsidRPr="002F42E5" w:rsidTr="00381EF7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FBC" w:rsidRDefault="00492FBC" w:rsidP="00492FBC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2F42E5" w:rsidRPr="002F42E5" w:rsidRDefault="00492FBC" w:rsidP="00492FBC">
            <w:pPr>
              <w:autoSpaceDE w:val="0"/>
              <w:autoSpaceDN w:val="0"/>
              <w:spacing w:line="400" w:lineRule="exact"/>
              <w:ind w:left="133" w:right="11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端午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FBC" w:rsidRPr="00BC7AC2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端午節的由來以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及其他國家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特殊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節慶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老師利用學習單及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</w:t>
            </w:r>
            <w:r w:rsidR="009C1197">
              <w:rPr>
                <w:rFonts w:ascii="標楷體" w:eastAsia="標楷體" w:hAnsi="標楷體" w:cs="新細明體" w:hint="eastAsia"/>
                <w:sz w:val="28"/>
                <w:szCs w:val="28"/>
              </w:rPr>
              <w:t>並實際讓學生製作端午節相關飾品，如香包等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2F42E5" w:rsidRPr="00492FBC" w:rsidRDefault="00492FBC" w:rsidP="00492FBC">
            <w:pPr>
              <w:pStyle w:val="a3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綜合活動:再複習一次關於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端午</w:t>
            </w:r>
            <w:r w:rsidRPr="00492FBC">
              <w:rPr>
                <w:rFonts w:ascii="標楷體" w:eastAsia="標楷體" w:hAnsi="標楷體" w:cs="新細明體" w:hint="eastAsia"/>
                <w:sz w:val="28"/>
                <w:szCs w:val="28"/>
              </w:rPr>
              <w:t>節文化特色。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2E5" w:rsidRPr="002F42E5" w:rsidRDefault="002F42E5" w:rsidP="002F42E5">
            <w:pPr>
              <w:autoSpaceDE w:val="0"/>
              <w:autoSpaceDN w:val="0"/>
              <w:spacing w:line="291" w:lineRule="exact"/>
              <w:ind w:left="12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學習單</w:t>
            </w:r>
          </w:p>
          <w:p w:rsidR="002F42E5" w:rsidRDefault="002F42E5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  <w:lang w:val="zh-TW" w:bidi="zh-TW"/>
              </w:rPr>
            </w:pPr>
            <w:r w:rsidRPr="002F42E5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電子白板</w:t>
            </w:r>
          </w:p>
          <w:p w:rsidR="009C1197" w:rsidRPr="002F42E5" w:rsidRDefault="009C1197" w:rsidP="002F42E5">
            <w:pPr>
              <w:autoSpaceDE w:val="0"/>
              <w:autoSpaceDN w:val="0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val="zh-TW" w:bidi="zh-TW"/>
              </w:rPr>
              <w:t>香包材料</w:t>
            </w:r>
          </w:p>
        </w:tc>
      </w:tr>
    </w:tbl>
    <w:p w:rsidR="002F42E5" w:rsidRPr="002F42E5" w:rsidRDefault="002F42E5" w:rsidP="002F42E5">
      <w:pPr>
        <w:rPr>
          <w:rFonts w:ascii="Calibri" w:eastAsia="新細明體" w:hAnsi="Calibri" w:cs="Times New Roman"/>
        </w:rPr>
      </w:pPr>
    </w:p>
    <w:p w:rsidR="008F5B7F" w:rsidRDefault="008F5B7F"/>
    <w:sectPr w:rsidR="008F5B7F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88" w:rsidRDefault="00D16888" w:rsidP="00D16888">
      <w:r>
        <w:separator/>
      </w:r>
    </w:p>
  </w:endnote>
  <w:endnote w:type="continuationSeparator" w:id="0">
    <w:p w:rsidR="00D16888" w:rsidRDefault="00D16888" w:rsidP="00D1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88" w:rsidRDefault="00D16888" w:rsidP="00D16888">
      <w:r>
        <w:separator/>
      </w:r>
    </w:p>
  </w:footnote>
  <w:footnote w:type="continuationSeparator" w:id="0">
    <w:p w:rsidR="00D16888" w:rsidRDefault="00D16888" w:rsidP="00D1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8D"/>
    <w:multiLevelType w:val="hybridMultilevel"/>
    <w:tmpl w:val="64626F56"/>
    <w:lvl w:ilvl="0" w:tplc="18D4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5"/>
    <w:rsid w:val="000A0FE2"/>
    <w:rsid w:val="00126131"/>
    <w:rsid w:val="001869C1"/>
    <w:rsid w:val="00201B3D"/>
    <w:rsid w:val="002F42E5"/>
    <w:rsid w:val="00492FBC"/>
    <w:rsid w:val="005B58DC"/>
    <w:rsid w:val="008F4D1E"/>
    <w:rsid w:val="008F5B7F"/>
    <w:rsid w:val="009226B2"/>
    <w:rsid w:val="009C1197"/>
    <w:rsid w:val="00AE47D3"/>
    <w:rsid w:val="00D16888"/>
    <w:rsid w:val="00DD3B55"/>
    <w:rsid w:val="00E16812"/>
    <w:rsid w:val="00E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D3CF5-65CC-471D-B351-9E409BC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D1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Body Text"/>
    <w:basedOn w:val="a"/>
    <w:link w:val="a5"/>
    <w:uiPriority w:val="1"/>
    <w:qFormat/>
    <w:rsid w:val="00492FBC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2FBC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92FBC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D1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68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6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68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3F自然教室</dc:creator>
  <cp:lastModifiedBy>3F自然教室</cp:lastModifiedBy>
  <cp:revision>2</cp:revision>
  <dcterms:created xsi:type="dcterms:W3CDTF">2020-07-30T05:58:00Z</dcterms:created>
  <dcterms:modified xsi:type="dcterms:W3CDTF">2020-07-30T05:58:00Z</dcterms:modified>
</cp:coreProperties>
</file>