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B" w:rsidRPr="00856D99" w:rsidRDefault="00D928AB" w:rsidP="00D928A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56D99">
        <w:rPr>
          <w:rFonts w:ascii="標楷體" w:eastAsia="標楷體" w:hAnsi="標楷體" w:hint="eastAsia"/>
          <w:color w:val="000000"/>
          <w:sz w:val="32"/>
          <w:szCs w:val="32"/>
        </w:rPr>
        <w:t>高雄市左營區屏山國民小學「課程評鑑計劃實施成效</w:t>
      </w:r>
      <w:proofErr w:type="gramStart"/>
      <w:r w:rsidRPr="00856D99">
        <w:rPr>
          <w:rFonts w:ascii="標楷體" w:eastAsia="標楷體" w:hAnsi="標楷體" w:hint="eastAsia"/>
          <w:color w:val="000000"/>
          <w:sz w:val="32"/>
          <w:szCs w:val="32"/>
        </w:rPr>
        <w:t>省思表</w:t>
      </w:r>
      <w:proofErr w:type="gramEnd"/>
      <w:r w:rsidRPr="00856D99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D928AB" w:rsidRPr="008627AB" w:rsidRDefault="00D928AB" w:rsidP="00D928AB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tbl>
      <w:tblPr>
        <w:tblW w:w="490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3311"/>
        <w:gridCol w:w="698"/>
        <w:gridCol w:w="696"/>
        <w:gridCol w:w="698"/>
        <w:gridCol w:w="700"/>
        <w:gridCol w:w="3086"/>
      </w:tblGrid>
      <w:tr w:rsidR="00856D99" w:rsidRPr="008627AB" w:rsidTr="002644C1">
        <w:trPr>
          <w:cantSplit/>
          <w:trHeight w:val="597"/>
        </w:trPr>
        <w:tc>
          <w:tcPr>
            <w:tcW w:w="1918" w:type="pct"/>
            <w:gridSpan w:val="2"/>
            <w:vMerge w:val="restart"/>
            <w:vAlign w:val="center"/>
          </w:tcPr>
          <w:p w:rsidR="00856D99" w:rsidRPr="00CB57D7" w:rsidRDefault="00856D99" w:rsidP="00FE5B44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 xml:space="preserve">評 </w:t>
            </w:r>
            <w:proofErr w:type="gramStart"/>
            <w:r w:rsidRPr="00CB57D7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CB57D7">
              <w:rPr>
                <w:rFonts w:ascii="標楷體" w:eastAsia="標楷體" w:hAnsi="標楷體" w:hint="eastAsia"/>
                <w:b/>
              </w:rPr>
              <w:t xml:space="preserve"> 指 標</w:t>
            </w:r>
          </w:p>
        </w:tc>
        <w:tc>
          <w:tcPr>
            <w:tcW w:w="1464" w:type="pct"/>
            <w:gridSpan w:val="4"/>
            <w:vAlign w:val="center"/>
          </w:tcPr>
          <w:p w:rsidR="00856D99" w:rsidRPr="00CB57D7" w:rsidRDefault="00856D99" w:rsidP="00FE5B44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評鑑結果</w:t>
            </w:r>
          </w:p>
        </w:tc>
        <w:tc>
          <w:tcPr>
            <w:tcW w:w="1618" w:type="pct"/>
            <w:vMerge w:val="restart"/>
            <w:vAlign w:val="center"/>
          </w:tcPr>
          <w:p w:rsidR="00856D99" w:rsidRPr="00CB57D7" w:rsidRDefault="00856D99" w:rsidP="00FE5B44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省思（請列舉）</w:t>
            </w:r>
          </w:p>
        </w:tc>
      </w:tr>
      <w:tr w:rsidR="00856D99" w:rsidRPr="008627AB" w:rsidTr="002644C1">
        <w:trPr>
          <w:cantSplit/>
          <w:trHeight w:val="1427"/>
        </w:trPr>
        <w:tc>
          <w:tcPr>
            <w:tcW w:w="1918" w:type="pct"/>
            <w:gridSpan w:val="2"/>
            <w:vMerge/>
            <w:vAlign w:val="center"/>
          </w:tcPr>
          <w:p w:rsidR="00856D99" w:rsidRPr="006B3C79" w:rsidRDefault="00856D99" w:rsidP="00FE5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856D99" w:rsidRPr="00CB57D7" w:rsidRDefault="00856D99" w:rsidP="00856D99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優良</w:t>
            </w:r>
          </w:p>
        </w:tc>
        <w:tc>
          <w:tcPr>
            <w:tcW w:w="365" w:type="pct"/>
            <w:vAlign w:val="center"/>
          </w:tcPr>
          <w:p w:rsidR="00856D99" w:rsidRPr="00CB57D7" w:rsidRDefault="00856D99" w:rsidP="00FE5B44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良好</w:t>
            </w:r>
          </w:p>
        </w:tc>
        <w:tc>
          <w:tcPr>
            <w:tcW w:w="366" w:type="pct"/>
            <w:vAlign w:val="center"/>
          </w:tcPr>
          <w:p w:rsidR="00856D99" w:rsidRPr="00CB57D7" w:rsidRDefault="00856D99" w:rsidP="00FE5B44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尚可</w:t>
            </w:r>
          </w:p>
        </w:tc>
        <w:tc>
          <w:tcPr>
            <w:tcW w:w="367" w:type="pct"/>
            <w:vAlign w:val="center"/>
          </w:tcPr>
          <w:p w:rsidR="00856D99" w:rsidRPr="00CB57D7" w:rsidRDefault="00856D99" w:rsidP="00856D99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待</w:t>
            </w:r>
          </w:p>
          <w:p w:rsidR="00856D99" w:rsidRPr="00CB57D7" w:rsidRDefault="00856D99" w:rsidP="00856D99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改</w:t>
            </w:r>
          </w:p>
          <w:p w:rsidR="00856D99" w:rsidRPr="00CB57D7" w:rsidRDefault="00856D99" w:rsidP="00856D99">
            <w:pPr>
              <w:jc w:val="center"/>
              <w:rPr>
                <w:rFonts w:ascii="標楷體" w:eastAsia="標楷體" w:hAnsi="標楷體"/>
                <w:b/>
              </w:rPr>
            </w:pPr>
            <w:r w:rsidRPr="00CB57D7">
              <w:rPr>
                <w:rFonts w:ascii="標楷體" w:eastAsia="標楷體" w:hAnsi="標楷體" w:hint="eastAsia"/>
                <w:b/>
              </w:rPr>
              <w:t>進</w:t>
            </w:r>
          </w:p>
        </w:tc>
        <w:tc>
          <w:tcPr>
            <w:tcW w:w="1618" w:type="pct"/>
            <w:vMerge/>
            <w:vAlign w:val="center"/>
          </w:tcPr>
          <w:p w:rsidR="00856D99" w:rsidRPr="006B3C79" w:rsidRDefault="00856D99" w:rsidP="00FE5B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5B44" w:rsidRPr="008627AB" w:rsidTr="002644C1">
        <w:trPr>
          <w:cantSplit/>
          <w:trHeight w:val="620"/>
        </w:trPr>
        <w:tc>
          <w:tcPr>
            <w:tcW w:w="182" w:type="pct"/>
            <w:vMerge w:val="restart"/>
            <w:vAlign w:val="center"/>
          </w:tcPr>
          <w:p w:rsidR="00FE5B44" w:rsidRPr="006B3C79" w:rsidRDefault="00FE5B44" w:rsidP="00FE5B44">
            <w:pPr>
              <w:jc w:val="center"/>
              <w:rPr>
                <w:rFonts w:ascii="標楷體" w:eastAsia="標楷體" w:hAnsi="標楷體"/>
              </w:rPr>
            </w:pPr>
            <w:r w:rsidRPr="006B3C79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1736" w:type="pct"/>
            <w:vAlign w:val="center"/>
          </w:tcPr>
          <w:p w:rsidR="00FE5B44" w:rsidRPr="006B3C79" w:rsidRDefault="00FE5B44" w:rsidP="008007CF">
            <w:pPr>
              <w:jc w:val="both"/>
              <w:rPr>
                <w:rFonts w:ascii="標楷體" w:eastAsia="標楷體" w:hAnsi="標楷體"/>
              </w:rPr>
            </w:pPr>
            <w:r w:rsidRPr="006B3C79">
              <w:rPr>
                <w:rFonts w:ascii="標楷體" w:eastAsia="標楷體" w:hAnsi="標楷體" w:hint="eastAsia"/>
              </w:rPr>
              <w:t>課程方案的</w:t>
            </w:r>
            <w:proofErr w:type="gramStart"/>
            <w:r w:rsidRPr="006B3C79">
              <w:rPr>
                <w:rFonts w:ascii="標楷體" w:eastAsia="標楷體" w:hAnsi="標楷體" w:hint="eastAsia"/>
              </w:rPr>
              <w:t>研</w:t>
            </w:r>
            <w:proofErr w:type="gramEnd"/>
            <w:r w:rsidRPr="006B3C79">
              <w:rPr>
                <w:rFonts w:ascii="標楷體" w:eastAsia="標楷體" w:hAnsi="標楷體" w:hint="eastAsia"/>
              </w:rPr>
              <w:t>擬與討論</w:t>
            </w:r>
          </w:p>
        </w:tc>
        <w:tc>
          <w:tcPr>
            <w:tcW w:w="366" w:type="pct"/>
            <w:vAlign w:val="center"/>
          </w:tcPr>
          <w:p w:rsidR="00FE5B44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FE5B44" w:rsidRPr="006B3C79" w:rsidRDefault="00174423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學校各項課程實施，皆能夠透過充分的討論與合法、合理的行政程序落實推動。</w:t>
            </w:r>
          </w:p>
        </w:tc>
      </w:tr>
      <w:tr w:rsidR="00FE5B44" w:rsidRPr="008627AB" w:rsidTr="002644C1">
        <w:trPr>
          <w:cantSplit/>
          <w:trHeight w:val="620"/>
        </w:trPr>
        <w:tc>
          <w:tcPr>
            <w:tcW w:w="182" w:type="pct"/>
            <w:vMerge/>
          </w:tcPr>
          <w:p w:rsidR="00FE5B44" w:rsidRPr="006B3C79" w:rsidRDefault="00FE5B44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FE5B44" w:rsidRPr="006B3C79" w:rsidRDefault="00FE5B44" w:rsidP="008007CF">
            <w:pPr>
              <w:jc w:val="both"/>
              <w:rPr>
                <w:rFonts w:ascii="標楷體" w:eastAsia="標楷體" w:hAnsi="標楷體"/>
              </w:rPr>
            </w:pPr>
            <w:r w:rsidRPr="006B3C79">
              <w:rPr>
                <w:rFonts w:ascii="標楷體" w:eastAsia="標楷體" w:hAnsi="標楷體" w:hint="eastAsia"/>
              </w:rPr>
              <w:t>課程實施前的協同合作與分工</w:t>
            </w:r>
          </w:p>
        </w:tc>
        <w:tc>
          <w:tcPr>
            <w:tcW w:w="366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FE5B44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FE5B44" w:rsidRPr="006B3C79" w:rsidRDefault="00FE5B44" w:rsidP="008007CF">
            <w:pPr>
              <w:rPr>
                <w:rFonts w:ascii="標楷體" w:eastAsia="標楷體" w:hAnsi="標楷體"/>
              </w:rPr>
            </w:pPr>
          </w:p>
        </w:tc>
      </w:tr>
      <w:tr w:rsidR="00FE5B44" w:rsidRPr="008627AB" w:rsidTr="002644C1">
        <w:trPr>
          <w:cantSplit/>
          <w:trHeight w:val="620"/>
        </w:trPr>
        <w:tc>
          <w:tcPr>
            <w:tcW w:w="182" w:type="pct"/>
            <w:vMerge/>
          </w:tcPr>
          <w:p w:rsidR="00FE5B44" w:rsidRPr="006B3C79" w:rsidRDefault="00FE5B44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FE5B44" w:rsidRPr="006B3C79" w:rsidRDefault="00FE5B44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課程經學校課程發展委員會審查通過</w:t>
            </w:r>
          </w:p>
        </w:tc>
        <w:tc>
          <w:tcPr>
            <w:tcW w:w="366" w:type="pct"/>
            <w:vAlign w:val="center"/>
          </w:tcPr>
          <w:p w:rsidR="00FE5B44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FE5B44" w:rsidRPr="006B3C79" w:rsidRDefault="00FE5B44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FE5B44" w:rsidRPr="006B3C79" w:rsidRDefault="00FE5B44" w:rsidP="008007CF">
            <w:pPr>
              <w:rPr>
                <w:rFonts w:ascii="標楷體" w:eastAsia="標楷體" w:hAnsi="標楷體"/>
              </w:rPr>
            </w:pPr>
          </w:p>
        </w:tc>
      </w:tr>
      <w:tr w:rsidR="00642D28" w:rsidRPr="008627AB" w:rsidTr="002644C1">
        <w:trPr>
          <w:cantSplit/>
          <w:trHeight w:val="620"/>
        </w:trPr>
        <w:tc>
          <w:tcPr>
            <w:tcW w:w="182" w:type="pct"/>
            <w:vMerge w:val="restart"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統整課程設計</w:t>
            </w:r>
          </w:p>
        </w:tc>
        <w:tc>
          <w:tcPr>
            <w:tcW w:w="1736" w:type="pct"/>
            <w:vAlign w:val="center"/>
          </w:tcPr>
          <w:p w:rsidR="00642D28" w:rsidRPr="006B3C79" w:rsidRDefault="00642D28" w:rsidP="008007C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position w:val="-6"/>
              </w:rPr>
              <w:t>訂定適切</w:t>
            </w:r>
            <w:proofErr w:type="gramEnd"/>
            <w:r>
              <w:rPr>
                <w:rFonts w:ascii="標楷體" w:eastAsia="標楷體" w:hAnsi="標楷體" w:hint="eastAsia"/>
                <w:position w:val="-6"/>
              </w:rPr>
              <w:t>的</w:t>
            </w:r>
            <w:r w:rsidRPr="000D39B7">
              <w:rPr>
                <w:rFonts w:ascii="標楷體" w:eastAsia="標楷體" w:hAnsi="標楷體" w:hint="eastAsia"/>
                <w:position w:val="-6"/>
              </w:rPr>
              <w:t>課程目標</w:t>
            </w:r>
          </w:p>
        </w:tc>
        <w:tc>
          <w:tcPr>
            <w:tcW w:w="366" w:type="pct"/>
            <w:vAlign w:val="center"/>
          </w:tcPr>
          <w:p w:rsidR="00642D28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642D28" w:rsidRPr="006B3C79" w:rsidRDefault="00174423" w:rsidP="00223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各學年統整課程的實施，</w:t>
            </w:r>
            <w:r w:rsidR="0022308C">
              <w:rPr>
                <w:rFonts w:ascii="標楷體" w:eastAsia="標楷體" w:hAnsi="標楷體" w:hint="eastAsia"/>
              </w:rPr>
              <w:t>課程目標訂定相當明確，且能依據目標進行教學活動，呼應</w:t>
            </w:r>
            <w:proofErr w:type="gramStart"/>
            <w:r w:rsidR="0022308C">
              <w:rPr>
                <w:rFonts w:ascii="標楷體" w:eastAsia="標楷體" w:hAnsi="標楷體" w:hint="eastAsia"/>
              </w:rPr>
              <w:t>學校創思</w:t>
            </w:r>
            <w:proofErr w:type="gramEnd"/>
            <w:r w:rsidR="0022308C">
              <w:rPr>
                <w:rFonts w:ascii="標楷體" w:eastAsia="標楷體" w:hAnsi="標楷體" w:hint="eastAsia"/>
              </w:rPr>
              <w:t>、進取、關懷願景，並</w:t>
            </w:r>
            <w:r>
              <w:rPr>
                <w:rFonts w:ascii="標楷體" w:eastAsia="標楷體" w:hAnsi="標楷體" w:hint="eastAsia"/>
              </w:rPr>
              <w:t>透過學年會議</w:t>
            </w:r>
            <w:r w:rsidR="0022308C">
              <w:rPr>
                <w:rFonts w:ascii="標楷體" w:eastAsia="標楷體" w:hAnsi="標楷體" w:hint="eastAsia"/>
              </w:rPr>
              <w:t>、領域會議與期末教師教學心得分享做討論與成果展現。</w:t>
            </w:r>
          </w:p>
        </w:tc>
      </w:tr>
      <w:tr w:rsidR="00642D28" w:rsidRPr="008627AB" w:rsidTr="002644C1">
        <w:trPr>
          <w:cantSplit/>
          <w:trHeight w:val="620"/>
        </w:trPr>
        <w:tc>
          <w:tcPr>
            <w:tcW w:w="182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642D28" w:rsidRPr="006B3C79" w:rsidRDefault="00642D28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position w:val="-6"/>
              </w:rPr>
              <w:t>課程目標呼應學校願景</w:t>
            </w:r>
          </w:p>
        </w:tc>
        <w:tc>
          <w:tcPr>
            <w:tcW w:w="366" w:type="pct"/>
            <w:vAlign w:val="center"/>
          </w:tcPr>
          <w:p w:rsidR="00642D28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</w:tr>
      <w:tr w:rsidR="00642D28" w:rsidRPr="008627AB" w:rsidTr="002644C1">
        <w:trPr>
          <w:cantSplit/>
          <w:trHeight w:val="620"/>
        </w:trPr>
        <w:tc>
          <w:tcPr>
            <w:tcW w:w="182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642D28" w:rsidRPr="006B3C79" w:rsidRDefault="00642D28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課程內容切合學生的能力與需求</w:t>
            </w: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642D28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</w:tr>
      <w:tr w:rsidR="00642D28" w:rsidRPr="008627AB" w:rsidTr="002644C1">
        <w:trPr>
          <w:cantSplit/>
          <w:trHeight w:val="620"/>
        </w:trPr>
        <w:tc>
          <w:tcPr>
            <w:tcW w:w="182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642D28" w:rsidRPr="006B3C79" w:rsidRDefault="00642D28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課程內容結合社區資源與特色</w:t>
            </w: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642D28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642D28" w:rsidRPr="006B3C79" w:rsidRDefault="00642D28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642D28" w:rsidRPr="006B3C79" w:rsidRDefault="00642D28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 w:val="restart"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學校本位課程設計與實施</w:t>
            </w: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position w:val="-6"/>
              </w:rPr>
              <w:t>訂定適切</w:t>
            </w:r>
            <w:proofErr w:type="gramEnd"/>
            <w:r>
              <w:rPr>
                <w:rFonts w:ascii="標楷體" w:eastAsia="標楷體" w:hAnsi="標楷體" w:hint="eastAsia"/>
                <w:position w:val="-6"/>
              </w:rPr>
              <w:t>的</w:t>
            </w:r>
            <w:r w:rsidRPr="000D39B7">
              <w:rPr>
                <w:rFonts w:ascii="標楷體" w:eastAsia="標楷體" w:hAnsi="標楷體" w:hint="eastAsia"/>
                <w:position w:val="-6"/>
              </w:rPr>
              <w:t>課程目標</w:t>
            </w: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2E5A92" w:rsidRPr="0022308C" w:rsidRDefault="0022308C" w:rsidP="0022308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2308C">
              <w:rPr>
                <w:rFonts w:ascii="標楷體" w:eastAsia="標楷體" w:hAnsi="標楷體" w:hint="eastAsia"/>
              </w:rPr>
              <w:t>學校本位課程</w:t>
            </w:r>
            <w:r w:rsidR="00257625">
              <w:rPr>
                <w:rFonts w:ascii="標楷體" w:eastAsia="標楷體" w:hAnsi="標楷體" w:hint="eastAsia"/>
              </w:rPr>
              <w:t>分為半屏山下與生活大考驗，由學校統一制定校本課程實施手冊，讓代理</w:t>
            </w:r>
            <w:r w:rsidRPr="0022308C">
              <w:rPr>
                <w:rFonts w:ascii="標楷體" w:eastAsia="標楷體" w:hAnsi="標楷體" w:hint="eastAsia"/>
              </w:rPr>
              <w:t>或新任教師皆能快速掌握教學目標與學生應該達成之學習成效。</w:t>
            </w:r>
          </w:p>
          <w:p w:rsidR="0022308C" w:rsidRPr="0022308C" w:rsidRDefault="0022308C" w:rsidP="0022308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學校設有校本課程網站，教師使用率較低，新學年度</w:t>
            </w:r>
            <w:proofErr w:type="gramStart"/>
            <w:r>
              <w:rPr>
                <w:rFonts w:ascii="標楷體" w:eastAsia="標楷體" w:hAnsi="標楷體" w:hint="eastAsia"/>
              </w:rPr>
              <w:t>將請執秘</w:t>
            </w:r>
            <w:proofErr w:type="gramEnd"/>
            <w:r>
              <w:rPr>
                <w:rFonts w:ascii="標楷體" w:eastAsia="標楷體" w:hAnsi="標楷體" w:hint="eastAsia"/>
              </w:rPr>
              <w:t>設計更人性化之介面，讓老師能輕易使用，已達成資料電子化目標。</w:t>
            </w: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FE5B44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尋求學校</w:t>
            </w:r>
            <w:r w:rsidRPr="000D39B7">
              <w:rPr>
                <w:rFonts w:ascii="標楷體" w:eastAsia="標楷體" w:hAnsi="標楷體"/>
                <w:position w:val="-6"/>
              </w:rPr>
              <w:t>行政</w:t>
            </w:r>
            <w:r w:rsidRPr="000D39B7">
              <w:rPr>
                <w:rFonts w:ascii="標楷體" w:eastAsia="標楷體" w:hAnsi="標楷體" w:hint="eastAsia"/>
                <w:position w:val="-6"/>
              </w:rPr>
              <w:t>系統</w:t>
            </w:r>
            <w:r w:rsidRPr="000D39B7">
              <w:rPr>
                <w:rFonts w:ascii="標楷體" w:eastAsia="標楷體" w:hAnsi="標楷體"/>
                <w:position w:val="-6"/>
              </w:rPr>
              <w:t>之支援與協</w:t>
            </w:r>
            <w:r w:rsidRPr="000D39B7">
              <w:rPr>
                <w:rFonts w:ascii="標楷體" w:eastAsia="標楷體" w:hAnsi="標楷體" w:hint="eastAsia"/>
                <w:position w:val="-6"/>
              </w:rPr>
              <w:t>助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能與相關教師</w:t>
            </w:r>
            <w:r w:rsidRPr="000D39B7">
              <w:rPr>
                <w:rFonts w:ascii="標楷體" w:eastAsia="標楷體" w:hAnsi="標楷體"/>
                <w:position w:val="-6"/>
              </w:rPr>
              <w:t>協同合作與分工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</w:rPr>
              <w:t>教師間</w:t>
            </w:r>
            <w:r w:rsidRPr="000D39B7">
              <w:rPr>
                <w:rFonts w:ascii="標楷體" w:eastAsia="標楷體" w:hAnsi="標楷體"/>
              </w:rPr>
              <w:t>研討課程實施</w:t>
            </w:r>
            <w:r w:rsidRPr="000D39B7">
              <w:rPr>
                <w:rFonts w:ascii="標楷體" w:eastAsia="標楷體" w:hAnsi="標楷體" w:hint="eastAsia"/>
              </w:rPr>
              <w:t>遭遇的問題</w:t>
            </w:r>
            <w:r w:rsidRPr="000D39B7">
              <w:rPr>
                <w:rFonts w:ascii="標楷體" w:eastAsia="標楷體" w:hAnsi="標楷體"/>
              </w:rPr>
              <w:t>及因應措施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課程實施後是否檢討反思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2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成果資料完成上傳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 w:val="restart"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lastRenderedPageBreak/>
              <w:t>題教學設計與實施</w:t>
            </w: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lastRenderedPageBreak/>
              <w:t>課程實施能顧及學生個別差異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2E5A92" w:rsidRPr="004A7976" w:rsidRDefault="004A7976" w:rsidP="004A797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position w:val="-6"/>
              </w:rPr>
            </w:pPr>
            <w:r w:rsidRPr="004A7976">
              <w:rPr>
                <w:rFonts w:ascii="標楷體" w:eastAsia="標楷體" w:hAnsi="標楷體" w:hint="eastAsia"/>
              </w:rPr>
              <w:t>各學年段之主題教學活動</w:t>
            </w:r>
            <w:r w:rsidRPr="004A7976">
              <w:rPr>
                <w:rFonts w:ascii="標楷體" w:eastAsia="標楷體" w:hAnsi="標楷體" w:hint="eastAsia"/>
              </w:rPr>
              <w:lastRenderedPageBreak/>
              <w:t>應</w:t>
            </w:r>
            <w:r w:rsidRPr="004A7976">
              <w:rPr>
                <w:rFonts w:ascii="標楷體" w:eastAsia="標楷體" w:hAnsi="標楷體" w:hint="eastAsia"/>
                <w:position w:val="-6"/>
              </w:rPr>
              <w:t>能充分蒐集</w:t>
            </w:r>
            <w:r w:rsidRPr="004A7976">
              <w:rPr>
                <w:rFonts w:ascii="標楷體" w:eastAsia="標楷體" w:hAnsi="標楷體"/>
                <w:position w:val="-6"/>
              </w:rPr>
              <w:t>教學資源與佈置</w:t>
            </w:r>
            <w:r w:rsidRPr="004A7976">
              <w:rPr>
                <w:rFonts w:ascii="標楷體" w:eastAsia="標楷體" w:hAnsi="標楷體" w:hint="eastAsia"/>
                <w:position w:val="-6"/>
              </w:rPr>
              <w:t>教學</w:t>
            </w:r>
            <w:r w:rsidRPr="004A7976">
              <w:rPr>
                <w:rFonts w:ascii="標楷體" w:eastAsia="標楷體" w:hAnsi="標楷體"/>
                <w:position w:val="-6"/>
              </w:rPr>
              <w:t>情境</w:t>
            </w:r>
            <w:r w:rsidRPr="004A7976">
              <w:rPr>
                <w:rFonts w:ascii="標楷體" w:eastAsia="標楷體" w:hAnsi="標楷體" w:hint="eastAsia"/>
                <w:position w:val="-6"/>
              </w:rPr>
              <w:t>，如此當能夠達事半功倍之效果，或尋求行政與社區支援亦可。</w:t>
            </w:r>
          </w:p>
          <w:p w:rsidR="004A7976" w:rsidRPr="004A7976" w:rsidRDefault="004A7976" w:rsidP="004A797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針對主題教學仍需</w:t>
            </w:r>
            <w:proofErr w:type="gramStart"/>
            <w:r>
              <w:rPr>
                <w:rFonts w:ascii="標楷體" w:eastAsia="標楷體" w:hAnsi="標楷體" w:hint="eastAsia"/>
              </w:rPr>
              <w:t>依據學施學習</w:t>
            </w:r>
            <w:proofErr w:type="gramEnd"/>
            <w:r>
              <w:rPr>
                <w:rFonts w:ascii="標楷體" w:eastAsia="標楷體" w:hAnsi="標楷體" w:hint="eastAsia"/>
              </w:rPr>
              <w:t>成效</w:t>
            </w:r>
            <w:r w:rsidR="002644C1">
              <w:rPr>
                <w:rFonts w:ascii="標楷體" w:eastAsia="標楷體" w:hAnsi="標楷體" w:hint="eastAsia"/>
              </w:rPr>
              <w:t>做反思，期能改進教學，提升學生學習成效與學習效能。</w:t>
            </w: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隨實際需要彈性調整課程設計與教學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  <w:position w:val="-6"/>
              </w:rPr>
              <w:t>能蒐集</w:t>
            </w:r>
            <w:r w:rsidRPr="000D39B7">
              <w:rPr>
                <w:rFonts w:ascii="標楷體" w:eastAsia="標楷體" w:hAnsi="標楷體"/>
                <w:position w:val="-6"/>
              </w:rPr>
              <w:t>教學資源與佈置</w:t>
            </w:r>
            <w:r w:rsidRPr="000D39B7">
              <w:rPr>
                <w:rFonts w:ascii="標楷體" w:eastAsia="標楷體" w:hAnsi="標楷體" w:hint="eastAsia"/>
                <w:position w:val="-6"/>
              </w:rPr>
              <w:t>教學</w:t>
            </w:r>
            <w:r w:rsidRPr="000D39B7">
              <w:rPr>
                <w:rFonts w:ascii="標楷體" w:eastAsia="標楷體" w:hAnsi="標楷體"/>
                <w:position w:val="-6"/>
              </w:rPr>
              <w:t>情境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</w:rPr>
              <w:t>檢討與反省教學運作情形並求精進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</w:rPr>
              <w:t>教學活潑多元，提供學生能力表現的機會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</w:rPr>
              <w:t>充分利用各種教學媒體，以利教學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</w:rPr>
              <w:t>設計多種評量方式，讓學生能展現才能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452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D39B7">
              <w:rPr>
                <w:rFonts w:ascii="標楷體" w:eastAsia="標楷體" w:hAnsi="標楷體" w:hint="eastAsia"/>
              </w:rPr>
              <w:t>參照評量結果，改進教學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2644C1" w:rsidTr="002644C1">
        <w:trPr>
          <w:cantSplit/>
          <w:trHeight w:val="640"/>
        </w:trPr>
        <w:tc>
          <w:tcPr>
            <w:tcW w:w="182" w:type="pct"/>
            <w:vMerge w:val="restart"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各版本教科書選用</w:t>
            </w: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是否按照既定期程評選教科書</w:t>
            </w: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2E5A92" w:rsidRPr="006B3C79" w:rsidRDefault="002644C1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教科書之選用皆能經過領域小組與學年會議充分討論，版本之銜接與給家長之訊息亦能完整與詳盡傳達。</w:t>
            </w:r>
          </w:p>
        </w:tc>
      </w:tr>
      <w:tr w:rsidR="002E5A92" w:rsidRPr="008627AB" w:rsidTr="002644C1">
        <w:trPr>
          <w:cantSplit/>
          <w:trHeight w:val="795"/>
        </w:trPr>
        <w:tc>
          <w:tcPr>
            <w:tcW w:w="182" w:type="pct"/>
            <w:vMerge/>
          </w:tcPr>
          <w:p w:rsidR="002E5A92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42D28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領域小組是否有充分討論版本使用與檢討紀錄</w:t>
            </w: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795"/>
        </w:trPr>
        <w:tc>
          <w:tcPr>
            <w:tcW w:w="182" w:type="pct"/>
            <w:vMerge/>
          </w:tcPr>
          <w:p w:rsidR="002E5A92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42D28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教科書版本是否</w:t>
            </w:r>
            <w:proofErr w:type="gramStart"/>
            <w:r>
              <w:rPr>
                <w:rFonts w:ascii="標楷體" w:eastAsia="標楷體" w:hAnsi="標楷體" w:hint="eastAsia"/>
              </w:rPr>
              <w:t>通過課發會</w:t>
            </w:r>
            <w:proofErr w:type="gramEnd"/>
            <w:r>
              <w:rPr>
                <w:rFonts w:ascii="標楷體" w:eastAsia="標楷體" w:hAnsi="標楷體" w:hint="eastAsia"/>
              </w:rPr>
              <w:t>決議通過</w:t>
            </w: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1005"/>
        </w:trPr>
        <w:tc>
          <w:tcPr>
            <w:tcW w:w="182" w:type="pct"/>
            <w:vMerge/>
          </w:tcPr>
          <w:p w:rsidR="002E5A92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版本銜接與使用是否完整公告於家長知悉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10"/>
        </w:trPr>
        <w:tc>
          <w:tcPr>
            <w:tcW w:w="182" w:type="pct"/>
            <w:vMerge w:val="restart"/>
          </w:tcPr>
          <w:p w:rsidR="002E5A92" w:rsidRPr="006B3C79" w:rsidRDefault="002E5A92" w:rsidP="008007CF">
            <w:pPr>
              <w:rPr>
                <w:rFonts w:ascii="標楷體" w:eastAsia="標楷體" w:hAnsi="標楷體"/>
                <w:kern w:val="2"/>
              </w:rPr>
            </w:pPr>
            <w:r w:rsidRPr="006B3C79">
              <w:rPr>
                <w:rFonts w:ascii="標楷體" w:eastAsia="標楷體" w:hAnsi="標楷體" w:hint="eastAsia"/>
                <w:kern w:val="2"/>
              </w:rPr>
              <w:t>學生學習成效</w:t>
            </w: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 w:rsidRPr="006B3C79">
              <w:rPr>
                <w:rFonts w:ascii="標楷體" w:eastAsia="標楷體" w:hAnsi="標楷體" w:hint="eastAsia"/>
              </w:rPr>
              <w:t>能力指標的達成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 w:val="restart"/>
          </w:tcPr>
          <w:p w:rsidR="002E5A92" w:rsidRPr="006B3C79" w:rsidRDefault="002644C1" w:rsidP="00800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各班與科任教師之對於學生的評量都能採取多元評量</w:t>
            </w:r>
            <w:r w:rsidRPr="006B3C79">
              <w:rPr>
                <w:rFonts w:ascii="標楷體" w:eastAsia="標楷體" w:hAnsi="標楷體" w:hint="eastAsia"/>
              </w:rPr>
              <w:t>方式</w:t>
            </w:r>
            <w:r>
              <w:rPr>
                <w:rFonts w:ascii="標楷體" w:eastAsia="標楷體" w:hAnsi="標楷體" w:hint="eastAsia"/>
              </w:rPr>
              <w:t>，並兼重形成性與總結性</w:t>
            </w:r>
          </w:p>
        </w:tc>
      </w:tr>
      <w:tr w:rsidR="002E5A92" w:rsidRPr="008627AB" w:rsidTr="002644C1">
        <w:trPr>
          <w:cantSplit/>
          <w:trHeight w:val="81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8007CF">
            <w:pPr>
              <w:jc w:val="both"/>
              <w:rPr>
                <w:rFonts w:ascii="標楷體" w:eastAsia="標楷體" w:hAnsi="標楷體"/>
              </w:rPr>
            </w:pPr>
            <w:r w:rsidRPr="006B3C79">
              <w:rPr>
                <w:rFonts w:ascii="標楷體" w:eastAsia="標楷體" w:hAnsi="標楷體" w:hint="eastAsia"/>
              </w:rPr>
              <w:t>學生合作學習風氣的養成</w:t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  <w:tr w:rsidR="002E5A92" w:rsidRPr="008627AB" w:rsidTr="002644C1">
        <w:trPr>
          <w:cantSplit/>
          <w:trHeight w:val="810"/>
        </w:trPr>
        <w:tc>
          <w:tcPr>
            <w:tcW w:w="182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  <w:tc>
          <w:tcPr>
            <w:tcW w:w="1736" w:type="pct"/>
            <w:vAlign w:val="center"/>
          </w:tcPr>
          <w:p w:rsidR="002E5A92" w:rsidRPr="006B3C79" w:rsidRDefault="002E5A92" w:rsidP="002E5A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採取多元評量</w:t>
            </w:r>
            <w:r w:rsidRPr="006B3C79">
              <w:rPr>
                <w:rFonts w:ascii="標楷體" w:eastAsia="標楷體" w:hAnsi="標楷體" w:hint="eastAsia"/>
              </w:rPr>
              <w:t>方式</w:t>
            </w:r>
            <w:r>
              <w:rPr>
                <w:rFonts w:ascii="標楷體" w:eastAsia="標楷體" w:hAnsi="標楷體" w:hint="eastAsia"/>
              </w:rPr>
              <w:t>，兼重形成性與總結性</w:t>
            </w:r>
          </w:p>
        </w:tc>
        <w:tc>
          <w:tcPr>
            <w:tcW w:w="366" w:type="pct"/>
            <w:vAlign w:val="center"/>
          </w:tcPr>
          <w:p w:rsidR="002E5A92" w:rsidRPr="006B3C79" w:rsidRDefault="00F40040" w:rsidP="00856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65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vAlign w:val="center"/>
          </w:tcPr>
          <w:p w:rsidR="002E5A92" w:rsidRPr="006B3C79" w:rsidRDefault="002E5A92" w:rsidP="00856D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vMerge/>
          </w:tcPr>
          <w:p w:rsidR="002E5A92" w:rsidRPr="006B3C79" w:rsidRDefault="002E5A92" w:rsidP="008007CF">
            <w:pPr>
              <w:rPr>
                <w:rFonts w:ascii="標楷體" w:eastAsia="標楷體" w:hAnsi="標楷體"/>
              </w:rPr>
            </w:pPr>
          </w:p>
        </w:tc>
      </w:tr>
    </w:tbl>
    <w:p w:rsidR="00D928AB" w:rsidRPr="008627AB" w:rsidRDefault="00D928AB" w:rsidP="00D928AB">
      <w:pPr>
        <w:rPr>
          <w:kern w:val="2"/>
        </w:rPr>
      </w:pPr>
    </w:p>
    <w:p w:rsidR="00DC23EB" w:rsidRPr="00D928AB" w:rsidRDefault="00D86EA1" w:rsidP="00D928AB"/>
    <w:sectPr w:rsidR="00DC23EB" w:rsidRPr="00D928AB" w:rsidSect="00856D99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A1" w:rsidRDefault="00D86EA1">
      <w:r>
        <w:separator/>
      </w:r>
    </w:p>
  </w:endnote>
  <w:endnote w:type="continuationSeparator" w:id="0">
    <w:p w:rsidR="00D86EA1" w:rsidRDefault="00D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3" w:rsidRDefault="002644C1" w:rsidP="00F473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743" w:rsidRDefault="00D86E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43" w:rsidRDefault="002644C1" w:rsidP="00F473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625">
      <w:rPr>
        <w:rStyle w:val="a5"/>
        <w:noProof/>
      </w:rPr>
      <w:t>1</w:t>
    </w:r>
    <w:r>
      <w:rPr>
        <w:rStyle w:val="a5"/>
      </w:rPr>
      <w:fldChar w:fldCharType="end"/>
    </w:r>
  </w:p>
  <w:p w:rsidR="00DC1743" w:rsidRDefault="00D86E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A1" w:rsidRDefault="00D86EA1">
      <w:r>
        <w:separator/>
      </w:r>
    </w:p>
  </w:footnote>
  <w:footnote w:type="continuationSeparator" w:id="0">
    <w:p w:rsidR="00D86EA1" w:rsidRDefault="00D8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9EB"/>
    <w:multiLevelType w:val="hybridMultilevel"/>
    <w:tmpl w:val="EC2C187E"/>
    <w:lvl w:ilvl="0" w:tplc="71DA1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8B128A"/>
    <w:multiLevelType w:val="hybridMultilevel"/>
    <w:tmpl w:val="C78A7584"/>
    <w:lvl w:ilvl="0" w:tplc="D36E9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AB"/>
    <w:rsid w:val="00174423"/>
    <w:rsid w:val="0022308C"/>
    <w:rsid w:val="00257625"/>
    <w:rsid w:val="002644C1"/>
    <w:rsid w:val="002E5A92"/>
    <w:rsid w:val="004A5DD8"/>
    <w:rsid w:val="004A7976"/>
    <w:rsid w:val="00642D28"/>
    <w:rsid w:val="00856D99"/>
    <w:rsid w:val="008A0A81"/>
    <w:rsid w:val="00CB57D7"/>
    <w:rsid w:val="00D677AC"/>
    <w:rsid w:val="00D86EA1"/>
    <w:rsid w:val="00D928AB"/>
    <w:rsid w:val="00F40040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928AB"/>
    <w:rPr>
      <w:rFonts w:ascii="新細明體" w:eastAsia="新細明體" w:hAnsi="新細明體" w:cs="新細明體"/>
      <w:kern w:val="0"/>
      <w:sz w:val="20"/>
      <w:szCs w:val="20"/>
    </w:rPr>
  </w:style>
  <w:style w:type="character" w:styleId="a5">
    <w:name w:val="page number"/>
    <w:basedOn w:val="a0"/>
    <w:rsid w:val="00D928AB"/>
  </w:style>
  <w:style w:type="paragraph" w:styleId="a6">
    <w:name w:val="List Paragraph"/>
    <w:basedOn w:val="a"/>
    <w:uiPriority w:val="34"/>
    <w:qFormat/>
    <w:rsid w:val="002230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2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928AB"/>
    <w:rPr>
      <w:rFonts w:ascii="新細明體" w:eastAsia="新細明體" w:hAnsi="新細明體" w:cs="新細明體"/>
      <w:kern w:val="0"/>
      <w:sz w:val="20"/>
      <w:szCs w:val="20"/>
    </w:rPr>
  </w:style>
  <w:style w:type="character" w:styleId="a5">
    <w:name w:val="page number"/>
    <w:basedOn w:val="a0"/>
    <w:rsid w:val="00D928AB"/>
  </w:style>
  <w:style w:type="paragraph" w:styleId="a6">
    <w:name w:val="List Paragraph"/>
    <w:basedOn w:val="a"/>
    <w:uiPriority w:val="34"/>
    <w:qFormat/>
    <w:rsid w:val="002230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jessor</dc:creator>
  <cp:lastModifiedBy>jessor</cp:lastModifiedBy>
  <cp:revision>8</cp:revision>
  <dcterms:created xsi:type="dcterms:W3CDTF">2015-07-07T13:26:00Z</dcterms:created>
  <dcterms:modified xsi:type="dcterms:W3CDTF">2015-07-08T08:36:00Z</dcterms:modified>
</cp:coreProperties>
</file>